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1E27DB" w14:textId="77777777" w:rsidR="00182A5E" w:rsidRDefault="00182A5E" w:rsidP="00182A5E">
      <w:pPr>
        <w:spacing w:line="480" w:lineRule="auto"/>
      </w:pPr>
      <w:bookmarkStart w:id="0" w:name="_GoBack"/>
      <w:bookmarkEnd w:id="0"/>
      <w:r>
        <w:rPr>
          <w:b/>
          <w:bCs/>
        </w:rPr>
        <w:t>Peace-making and civil-military relations, 1918-1923</w:t>
      </w:r>
    </w:p>
    <w:p w14:paraId="69595E67" w14:textId="77777777" w:rsidR="00182A5E" w:rsidRDefault="00182A5E" w:rsidP="00182A5E">
      <w:pPr>
        <w:spacing w:line="480" w:lineRule="auto"/>
      </w:pPr>
      <w:r>
        <w:tab/>
      </w:r>
    </w:p>
    <w:p w14:paraId="566E47BE" w14:textId="06BA5E28" w:rsidR="00182A5E" w:rsidRDefault="00182A5E" w:rsidP="00182A5E">
      <w:pPr>
        <w:spacing w:line="480" w:lineRule="auto"/>
      </w:pPr>
      <w:r>
        <w:tab/>
        <w:t>Civil-military relations during the First World War are conventionally seen as a source of recurrent friction, of ‘frocks’ (or civilians) battling with ‘</w:t>
      </w:r>
      <w:proofErr w:type="spellStart"/>
      <w:r>
        <w:t>brasshats</w:t>
      </w:r>
      <w:proofErr w:type="spellEnd"/>
      <w:r>
        <w:t>’ (or generals).  The result is portrayed as domestic discord and wasted effort during the war and a bout of splenetic and self-serving memoirs after it.  Two factors in particular</w:t>
      </w:r>
      <w:r w:rsidR="0052454C">
        <w:t xml:space="preserve"> </w:t>
      </w:r>
      <w:r>
        <w:t>contributed to th</w:t>
      </w:r>
      <w:r w:rsidR="00A66AED">
        <w:t>ese tensions</w:t>
      </w:r>
      <w:r>
        <w:t>.</w:t>
      </w:r>
    </w:p>
    <w:p w14:paraId="262773FE" w14:textId="11CE672D" w:rsidR="00482FEB" w:rsidRDefault="00182A5E" w:rsidP="00182A5E">
      <w:pPr>
        <w:spacing w:line="480" w:lineRule="auto"/>
      </w:pPr>
      <w:r>
        <w:tab/>
        <w:t xml:space="preserve">The first was the establishment and growth of general staffs between 1870 and 1914.  The creation of what </w:t>
      </w:r>
      <w:r w:rsidR="0052454C">
        <w:t xml:space="preserve">in 1938 </w:t>
      </w:r>
      <w:r>
        <w:t xml:space="preserve">Dallas D. Irvine called ‘capital staffs’ meant that developed states </w:t>
      </w:r>
      <w:r w:rsidR="00482FEB">
        <w:t>set up military planning bodies at the heart of government which prepared for major war in peace time.</w:t>
      </w:r>
      <w:r w:rsidR="00482FEB">
        <w:rPr>
          <w:rStyle w:val="FootnoteReference"/>
        </w:rPr>
        <w:footnoteReference w:id="1"/>
      </w:r>
      <w:r w:rsidR="00482FEB">
        <w:t xml:space="preserve">  </w:t>
      </w:r>
      <w:r w:rsidR="00A66AED">
        <w:t>G</w:t>
      </w:r>
      <w:r w:rsidR="00482FEB">
        <w:t xml:space="preserve">iven the </w:t>
      </w:r>
      <w:r w:rsidR="00DB4D29">
        <w:t xml:space="preserve">still </w:t>
      </w:r>
      <w:r w:rsidR="00482FEB">
        <w:t>comparatively under</w:t>
      </w:r>
      <w:r w:rsidR="00A66AED">
        <w:t>-</w:t>
      </w:r>
      <w:r w:rsidR="00482FEB">
        <w:t>developed state of central government, these were significant bureaucracies with considerable latent powers over the functioning of the state should war break out, and yet the mechanisms for their political control and direction were ill developed.</w:t>
      </w:r>
      <w:r w:rsidR="00A66AED">
        <w:rPr>
          <w:rStyle w:val="FootnoteReference"/>
        </w:rPr>
        <w:footnoteReference w:id="2"/>
      </w:r>
      <w:r w:rsidR="00482FEB">
        <w:t xml:space="preserve"> Where general staffs were positioned in the hierarchy and to whom they answered were questions that were </w:t>
      </w:r>
      <w:r w:rsidR="00DB4D29">
        <w:t xml:space="preserve">only fully </w:t>
      </w:r>
      <w:r w:rsidR="00482FEB">
        <w:t>resolved after the war broke out in 1914.  It was this event, the onset of what we might now call, and some did then, existential conflict, which generated the second problem.</w:t>
      </w:r>
    </w:p>
    <w:p w14:paraId="752E6469" w14:textId="2C6F07CE" w:rsidR="00456BF1" w:rsidRDefault="00482FEB" w:rsidP="00182A5E">
      <w:pPr>
        <w:spacing w:line="480" w:lineRule="auto"/>
      </w:pPr>
      <w:r>
        <w:rPr>
          <w:b/>
          <w:bCs/>
        </w:rPr>
        <w:tab/>
      </w:r>
      <w:r>
        <w:t xml:space="preserve">The scale of the First World War ensured that its conduct </w:t>
      </w:r>
      <w:r w:rsidR="00642AF8">
        <w:t xml:space="preserve">became the principal function of the state and </w:t>
      </w:r>
      <w:r w:rsidR="00DB4D29">
        <w:t xml:space="preserve">of </w:t>
      </w:r>
      <w:r w:rsidR="00642AF8">
        <w:t xml:space="preserve">the nation. </w:t>
      </w:r>
      <w:r w:rsidR="00DB4D29">
        <w:t>Within weeks s</w:t>
      </w:r>
      <w:r w:rsidR="00642AF8">
        <w:t xml:space="preserve">oldiers – Joffre and </w:t>
      </w:r>
      <w:proofErr w:type="spellStart"/>
      <w:r w:rsidR="00642AF8">
        <w:t>Gallieni</w:t>
      </w:r>
      <w:proofErr w:type="spellEnd"/>
      <w:r w:rsidR="00642AF8">
        <w:t xml:space="preserve"> in France and Hindenburg and Ludendorff in Germany – became national heroes. After the war, in 1922, the </w:t>
      </w:r>
      <w:r w:rsidR="00456BF1">
        <w:t>American political commentator, Walter Lippmann, edited and quoted the words of Captain Peter Wright, who had served as the Assistant Secretary of the Supreme War Council:</w:t>
      </w:r>
    </w:p>
    <w:p w14:paraId="711C553D" w14:textId="3658E5D1" w:rsidR="00456BF1" w:rsidRDefault="00456BF1" w:rsidP="00DB4D29">
      <w:pPr>
        <w:spacing w:line="240" w:lineRule="auto"/>
        <w:ind w:left="680"/>
      </w:pPr>
      <w:r>
        <w:t>All chiefs everywhere are now kept, painted by the busy work of numberless publicists, so as to be mistaken for Napoleons</w:t>
      </w:r>
      <w:r w:rsidR="000B3324">
        <w:t xml:space="preserve"> -</w:t>
      </w:r>
      <w:r>
        <w:t xml:space="preserve"> at a distance. … It becomes almost impossible to displace these Napoleons, whatever their incompetence, because of the enormous public support created by hiding or glossing failure, and exaggerating or inventing success. … But the most insidious and worst effect … is on the generals themselves. … They themselves are ultimately affected by these universal illusions. … These various conditions … at last emancipate all </w:t>
      </w:r>
      <w:r>
        <w:lastRenderedPageBreak/>
        <w:t>General Staffs from all control.  They no longer live for the nation: the nation lives, or dies, for them.</w:t>
      </w:r>
      <w:r w:rsidR="00DB4D29">
        <w:rPr>
          <w:rStyle w:val="FootnoteReference"/>
        </w:rPr>
        <w:footnoteReference w:id="3"/>
      </w:r>
    </w:p>
    <w:p w14:paraId="120DB5DA" w14:textId="048856F4" w:rsidR="00DB4D29" w:rsidRDefault="00456BF1" w:rsidP="00456BF1">
      <w:pPr>
        <w:spacing w:line="480" w:lineRule="auto"/>
        <w:ind w:firstLine="720"/>
      </w:pPr>
      <w:r>
        <w:t xml:space="preserve">By 1917-18 the democratic states, </w:t>
      </w:r>
      <w:r w:rsidR="00DB4D29">
        <w:t xml:space="preserve">pre-eminently Britain, France and Italy, had brought these two pressures under control.  Civilian supremacy was reasserted, but in such a way that the military’s voice was heard, not silenced.  The result was the institutionalisation of a new approach to strategy, </w:t>
      </w:r>
      <w:r w:rsidR="0052454C">
        <w:t xml:space="preserve">which </w:t>
      </w:r>
      <w:r w:rsidR="00DB4D29">
        <w:t xml:space="preserve">in 1918 enabled the Entente and its associate, the United States, to cohere better as an alliance and </w:t>
      </w:r>
      <w:r w:rsidR="00DC45CE">
        <w:t xml:space="preserve">which </w:t>
      </w:r>
      <w:r w:rsidR="00DB4D29">
        <w:t>en</w:t>
      </w:r>
      <w:r w:rsidR="00DC45CE">
        <w:t xml:space="preserve">sured that </w:t>
      </w:r>
      <w:r w:rsidR="00DB4D29">
        <w:t>t</w:t>
      </w:r>
      <w:r w:rsidR="00DC45CE">
        <w:t xml:space="preserve">he tactical </w:t>
      </w:r>
      <w:r w:rsidR="00DB4D29">
        <w:t>and operation</w:t>
      </w:r>
      <w:r w:rsidR="00DC45CE">
        <w:t xml:space="preserve">al conditions which had hitherto dominated the shape of the war henceforth </w:t>
      </w:r>
      <w:r w:rsidR="00DB4D29">
        <w:t>serve</w:t>
      </w:r>
      <w:r w:rsidR="00DC45CE">
        <w:t>d</w:t>
      </w:r>
      <w:r w:rsidR="00DB4D29">
        <w:t xml:space="preserve"> strategy and, ultimately, policy. </w:t>
      </w:r>
    </w:p>
    <w:p w14:paraId="1CABC294" w14:textId="336284D4" w:rsidR="00812FAF" w:rsidRDefault="00DB4D29" w:rsidP="00456BF1">
      <w:pPr>
        <w:spacing w:line="480" w:lineRule="auto"/>
        <w:ind w:firstLine="720"/>
      </w:pPr>
      <w:r>
        <w:t xml:space="preserve">Before the war, the military had defined strategy in self-referential terms: as the business of generals.  Foch, </w:t>
      </w:r>
      <w:r w:rsidR="007D0A3F">
        <w:t xml:space="preserve">appointed </w:t>
      </w:r>
      <w:r w:rsidR="00826350">
        <w:t xml:space="preserve">the </w:t>
      </w:r>
      <w:r>
        <w:t xml:space="preserve">allied generalissimo on </w:t>
      </w:r>
      <w:r w:rsidR="007D0A3F">
        <w:t xml:space="preserve">26 </w:t>
      </w:r>
      <w:r w:rsidR="00826350">
        <w:t xml:space="preserve">March 1918, </w:t>
      </w:r>
      <w:r w:rsidR="00812FAF">
        <w:t xml:space="preserve">said, </w:t>
      </w:r>
      <w:r w:rsidR="00826350">
        <w:t>when he lectured at the Ecole de Guerre in 1901, that strategy sought tactical results, and so found its outcome in victory on the battlefield.</w:t>
      </w:r>
      <w:r w:rsidR="00826350">
        <w:rPr>
          <w:rStyle w:val="FootnoteReference"/>
        </w:rPr>
        <w:footnoteReference w:id="4"/>
      </w:r>
      <w:r w:rsidR="00826350">
        <w:t xml:space="preserve">  In doing so he reflected the presumptions of the nineteenth century, going back to Clausewitz. Strategy, </w:t>
      </w:r>
      <w:r w:rsidR="00812FAF">
        <w:t xml:space="preserve">the latter </w:t>
      </w:r>
      <w:r w:rsidR="00826350">
        <w:t xml:space="preserve">had written in </w:t>
      </w:r>
      <w:r w:rsidR="00826350">
        <w:rPr>
          <w:u w:val="single"/>
        </w:rPr>
        <w:t>On War</w:t>
      </w:r>
      <w:r w:rsidR="00826350">
        <w:t xml:space="preserve">, is </w:t>
      </w:r>
      <w:r w:rsidR="00DC45CE">
        <w:t>‘</w:t>
      </w:r>
      <w:r w:rsidR="00826350">
        <w:t xml:space="preserve">the use of </w:t>
      </w:r>
      <w:r w:rsidR="00DC45CE">
        <w:t xml:space="preserve">an engagement </w:t>
      </w:r>
      <w:r w:rsidR="00826350">
        <w:t>for the purpose of war</w:t>
      </w:r>
      <w:r w:rsidR="00DC45CE">
        <w:t>’</w:t>
      </w:r>
      <w:r w:rsidR="00826350">
        <w:t>.</w:t>
      </w:r>
      <w:r w:rsidR="00826350">
        <w:rPr>
          <w:rStyle w:val="FootnoteReference"/>
        </w:rPr>
        <w:footnoteReference w:id="5"/>
      </w:r>
      <w:r w:rsidR="00826350">
        <w:t xml:space="preserve">  During the war it became clear that this was too narrow an understanding of the context in which armies now found themselves.  War </w:t>
      </w:r>
      <w:r w:rsidR="00DC45CE">
        <w:t xml:space="preserve">required national mobilisation and </w:t>
      </w:r>
      <w:r w:rsidR="00826350">
        <w:t xml:space="preserve">had to be fought </w:t>
      </w:r>
      <w:r w:rsidR="00DC45CE">
        <w:t xml:space="preserve">with allies </w:t>
      </w:r>
      <w:r w:rsidR="00826350">
        <w:t xml:space="preserve">in three dimensions, sea, land and air, </w:t>
      </w:r>
      <w:r w:rsidR="00DC45CE">
        <w:t xml:space="preserve">and </w:t>
      </w:r>
      <w:r w:rsidR="00826350">
        <w:t>on multiple fronts.  A</w:t>
      </w:r>
      <w:r w:rsidR="0052454C">
        <w:t>fter t</w:t>
      </w:r>
      <w:r w:rsidR="00826350">
        <w:t xml:space="preserve">he war, Sir William Robertson, the chief of the British imperial general staff between December 1915 and February 1918, said that strategy was decided not in a general headquarters, </w:t>
      </w:r>
      <w:r w:rsidR="00812FAF">
        <w:t xml:space="preserve">but in the nation’s capital </w:t>
      </w:r>
      <w:r w:rsidR="00DC45CE">
        <w:t xml:space="preserve">- </w:t>
      </w:r>
      <w:r w:rsidR="00812FAF">
        <w:t>at the interface between the waging of the war and the formation of policy.  It</w:t>
      </w:r>
      <w:r w:rsidR="00DC45CE">
        <w:t xml:space="preserve">s formation </w:t>
      </w:r>
      <w:r w:rsidR="00812FAF">
        <w:t>was a joint civil-military endeavour.</w:t>
      </w:r>
      <w:r w:rsidR="00812FAF">
        <w:rPr>
          <w:rStyle w:val="FootnoteReference"/>
        </w:rPr>
        <w:footnoteReference w:id="6"/>
      </w:r>
      <w:r w:rsidR="00812FAF">
        <w:t xml:space="preserve"> </w:t>
      </w:r>
    </w:p>
    <w:p w14:paraId="153DB606" w14:textId="1FD7B488" w:rsidR="007F336B" w:rsidRDefault="00812FAF" w:rsidP="00150178">
      <w:pPr>
        <w:spacing w:line="480" w:lineRule="auto"/>
        <w:ind w:firstLine="720"/>
      </w:pPr>
      <w:r>
        <w:t xml:space="preserve">This was a conclusion which one of Foch’s former pupils, Henri </w:t>
      </w:r>
      <w:proofErr w:type="spellStart"/>
      <w:r>
        <w:t>Mordacq</w:t>
      </w:r>
      <w:proofErr w:type="spellEnd"/>
      <w:r>
        <w:t>, had reached before 1914.</w:t>
      </w:r>
      <w:r>
        <w:rPr>
          <w:rStyle w:val="FootnoteReference"/>
        </w:rPr>
        <w:footnoteReference w:id="7"/>
      </w:r>
      <w:r>
        <w:t xml:space="preserve"> </w:t>
      </w:r>
      <w:r w:rsidR="007D0A3F">
        <w:t>In November 1</w:t>
      </w:r>
      <w:r w:rsidR="000B3324">
        <w:t xml:space="preserve">917 </w:t>
      </w:r>
      <w:proofErr w:type="spellStart"/>
      <w:r w:rsidR="000B3324">
        <w:t>Mordacq</w:t>
      </w:r>
      <w:proofErr w:type="spellEnd"/>
      <w:r w:rsidR="000B3324">
        <w:t xml:space="preserve"> was </w:t>
      </w:r>
      <w:r w:rsidR="007D0A3F">
        <w:t xml:space="preserve">appointed </w:t>
      </w:r>
      <w:r w:rsidR="000B3324">
        <w:t xml:space="preserve">the head of Georges Clemenceau’s military </w:t>
      </w:r>
      <w:r w:rsidR="000B3324">
        <w:lastRenderedPageBreak/>
        <w:t xml:space="preserve">cabinet and </w:t>
      </w:r>
      <w:r w:rsidR="007D0A3F">
        <w:t xml:space="preserve">so placed </w:t>
      </w:r>
      <w:r w:rsidR="000B3324">
        <w:t xml:space="preserve">at the centre of the civil-military relationship in France.  The new premier, who had made his name as a </w:t>
      </w:r>
      <w:proofErr w:type="spellStart"/>
      <w:r w:rsidR="000B3324">
        <w:t>Dreyfusard</w:t>
      </w:r>
      <w:proofErr w:type="spellEnd"/>
      <w:r w:rsidR="000B3324">
        <w:t xml:space="preserve"> at the nadir of the army’s relationship with the Third Republic, </w:t>
      </w:r>
      <w:r w:rsidR="00DF5CB5">
        <w:t>remobilised France for what Léon Daudet would call ‘total war’</w:t>
      </w:r>
      <w:r w:rsidR="007D0A3F">
        <w:t xml:space="preserve"> in March 1918</w:t>
      </w:r>
      <w:r w:rsidR="00DF5CB5">
        <w:t>.</w:t>
      </w:r>
      <w:r w:rsidR="00DF5CB5">
        <w:rPr>
          <w:rStyle w:val="FootnoteReference"/>
        </w:rPr>
        <w:footnoteReference w:id="8"/>
      </w:r>
      <w:r w:rsidR="00DF5CB5">
        <w:t xml:space="preserve"> Clemenceau rallied the French nation to the army and committed both to victory.  He did not war</w:t>
      </w:r>
      <w:r w:rsidR="007D0A3F">
        <w:t>m</w:t>
      </w:r>
      <w:r w:rsidR="00DF5CB5">
        <w:t xml:space="preserve"> to the army’s commander-in-chief, Philippe </w:t>
      </w:r>
      <w:proofErr w:type="spellStart"/>
      <w:r w:rsidR="00DF5CB5">
        <w:t>Pétain</w:t>
      </w:r>
      <w:proofErr w:type="spellEnd"/>
      <w:r w:rsidR="0052454C">
        <w:t xml:space="preserve">. </w:t>
      </w:r>
      <w:r w:rsidR="00150178">
        <w:t>Although un</w:t>
      </w:r>
      <w:r w:rsidR="0052454C">
        <w:t xml:space="preserve">able to remove </w:t>
      </w:r>
      <w:proofErr w:type="spellStart"/>
      <w:r w:rsidR="0052454C">
        <w:t>Pétain</w:t>
      </w:r>
      <w:proofErr w:type="spellEnd"/>
      <w:r w:rsidR="0052454C">
        <w:t xml:space="preserve">, </w:t>
      </w:r>
      <w:r w:rsidR="00150178">
        <w:t xml:space="preserve">who was </w:t>
      </w:r>
      <w:r w:rsidR="0052454C">
        <w:t xml:space="preserve">sanctified in the eyes of the republic as the saviour of Verdun in 1916, </w:t>
      </w:r>
      <w:r w:rsidR="00150178">
        <w:t xml:space="preserve">he did manage to reduce his power. Foch’s elevation to the supreme command made him, not </w:t>
      </w:r>
      <w:proofErr w:type="spellStart"/>
      <w:r w:rsidR="00150178">
        <w:t>Pétain</w:t>
      </w:r>
      <w:proofErr w:type="spellEnd"/>
      <w:r w:rsidR="00150178">
        <w:t>, France’s senior commander at the end of March, and during April and May it became increasingly clear where the premier’s favour lay. Back in 1908, during his first stint as prime minister, Clemenceau had resuscitated Foch’s career by appointing him director of the Ecole de Guerre.</w:t>
      </w:r>
      <w:r w:rsidR="005970BF" w:rsidRPr="005970BF">
        <w:rPr>
          <w:rStyle w:val="FootnoteReference"/>
        </w:rPr>
        <w:t xml:space="preserve"> </w:t>
      </w:r>
      <w:r w:rsidR="005970BF">
        <w:rPr>
          <w:rStyle w:val="FootnoteReference"/>
        </w:rPr>
        <w:footnoteReference w:id="9"/>
      </w:r>
      <w:r w:rsidR="005970BF">
        <w:t xml:space="preserve">  </w:t>
      </w:r>
      <w:r w:rsidR="00150178">
        <w:t xml:space="preserve">The French army’s failure on 27 May 1918 to stem the </w:t>
      </w:r>
      <w:r w:rsidR="00DF5CB5">
        <w:t xml:space="preserve">German offensive </w:t>
      </w:r>
      <w:r w:rsidR="00150178">
        <w:t xml:space="preserve">in Champagne gave Clemenceau the opportunity to </w:t>
      </w:r>
      <w:r w:rsidR="00090B0D">
        <w:t xml:space="preserve">effect six changes in the army command and </w:t>
      </w:r>
      <w:r w:rsidR="00150178">
        <w:t xml:space="preserve">so to </w:t>
      </w:r>
      <w:r w:rsidR="00DF5CB5">
        <w:t>re</w:t>
      </w:r>
      <w:r w:rsidR="00090B0D">
        <w:t xml:space="preserve">place </w:t>
      </w:r>
      <w:r w:rsidR="00DF5CB5">
        <w:t xml:space="preserve">those officers around </w:t>
      </w:r>
      <w:proofErr w:type="spellStart"/>
      <w:r w:rsidR="00DF5CB5">
        <w:t>Pétain</w:t>
      </w:r>
      <w:proofErr w:type="spellEnd"/>
      <w:r w:rsidR="00DF5CB5">
        <w:t xml:space="preserve"> whom he had distrusted.</w:t>
      </w:r>
      <w:r w:rsidR="00090B0D">
        <w:rPr>
          <w:rStyle w:val="FootnoteReference"/>
        </w:rPr>
        <w:footnoteReference w:id="10"/>
      </w:r>
      <w:r w:rsidR="00DF5CB5">
        <w:t xml:space="preserve">  Foch may have been the allied supreme commander but Clemenceau</w:t>
      </w:r>
      <w:r w:rsidR="00A37C5F">
        <w:t xml:space="preserve"> </w:t>
      </w:r>
      <w:r w:rsidR="00DF5CB5">
        <w:t>reminded him he was still a French offi</w:t>
      </w:r>
      <w:r w:rsidR="007F336B">
        <w:t>c</w:t>
      </w:r>
      <w:r w:rsidR="00DF5CB5">
        <w:t>er</w:t>
      </w:r>
      <w:r w:rsidR="007F336B">
        <w:t xml:space="preserve"> and in July 1918 </w:t>
      </w:r>
      <w:r w:rsidR="00F53854">
        <w:t xml:space="preserve">cemented the relationship by securing </w:t>
      </w:r>
      <w:r w:rsidR="005970BF">
        <w:t xml:space="preserve">Foch’s </w:t>
      </w:r>
      <w:r w:rsidR="007F336B">
        <w:t>promot</w:t>
      </w:r>
      <w:r w:rsidR="00F53854">
        <w:t xml:space="preserve">ion as </w:t>
      </w:r>
      <w:r w:rsidR="007F336B">
        <w:t xml:space="preserve">a Marshal of France.  </w:t>
      </w:r>
    </w:p>
    <w:p w14:paraId="6B73AEDA" w14:textId="21E3DCDE" w:rsidR="00DB4D29" w:rsidRDefault="007F336B" w:rsidP="00456BF1">
      <w:pPr>
        <w:spacing w:line="480" w:lineRule="auto"/>
        <w:ind w:firstLine="720"/>
      </w:pPr>
      <w:r>
        <w:t xml:space="preserve">In Britain, David Lloyd George had begun his time as prime minister by weakening his own authority with the army and its principal supporters. </w:t>
      </w:r>
      <w:r w:rsidR="005970BF">
        <w:t xml:space="preserve">In February 1917 he </w:t>
      </w:r>
      <w:r>
        <w:t>subordinat</w:t>
      </w:r>
      <w:r w:rsidR="005970BF">
        <w:t>ed</w:t>
      </w:r>
      <w:r>
        <w:t xml:space="preserve"> the </w:t>
      </w:r>
      <w:r w:rsidR="005970BF">
        <w:t xml:space="preserve">command of the </w:t>
      </w:r>
      <w:r>
        <w:t xml:space="preserve">British Expeditionary Force </w:t>
      </w:r>
      <w:r w:rsidR="005970BF">
        <w:t xml:space="preserve">to the overall direction of France </w:t>
      </w:r>
      <w:r>
        <w:t xml:space="preserve">for the duration of the </w:t>
      </w:r>
      <w:proofErr w:type="spellStart"/>
      <w:r>
        <w:t>Nivelle</w:t>
      </w:r>
      <w:proofErr w:type="spellEnd"/>
      <w:r>
        <w:t xml:space="preserve"> offensive without prior consultation with the king or the Conservative cabinet colleagues on whom he depended for his political survival.  The attack’s failure on 16 April 1917 compounded the sin.  However, by the end of the year </w:t>
      </w:r>
      <w:r w:rsidR="005970BF">
        <w:t xml:space="preserve">Lloyd George </w:t>
      </w:r>
      <w:r>
        <w:t xml:space="preserve">had rebounded.  The </w:t>
      </w:r>
      <w:r w:rsidR="008900D4">
        <w:t xml:space="preserve">third battle of Ypres, which culminated at Passchendaele in November 1917, dented </w:t>
      </w:r>
      <w:r w:rsidR="00F53854">
        <w:t xml:space="preserve">the </w:t>
      </w:r>
      <w:r w:rsidR="008900D4">
        <w:t xml:space="preserve">confidence </w:t>
      </w:r>
      <w:r w:rsidR="005970BF">
        <w:t xml:space="preserve">in Haig </w:t>
      </w:r>
      <w:r w:rsidR="00F53854">
        <w:t>of both Conservatives and the press</w:t>
      </w:r>
      <w:r w:rsidR="00C92B11">
        <w:t xml:space="preserve">.  In </w:t>
      </w:r>
      <w:r w:rsidR="001A4A04">
        <w:t xml:space="preserve">January 1918 </w:t>
      </w:r>
      <w:r w:rsidR="005970BF">
        <w:t xml:space="preserve">two of </w:t>
      </w:r>
      <w:r w:rsidR="008900D4">
        <w:t xml:space="preserve">Haig’s principal advisers, his </w:t>
      </w:r>
      <w:r w:rsidR="001A4A04">
        <w:t>chief of staff and his head of m</w:t>
      </w:r>
      <w:r w:rsidR="008900D4">
        <w:t xml:space="preserve">ilitary </w:t>
      </w:r>
      <w:r w:rsidR="001A4A04">
        <w:t>i</w:t>
      </w:r>
      <w:r w:rsidR="008900D4">
        <w:t xml:space="preserve">ntelligence, were replaced and </w:t>
      </w:r>
      <w:r w:rsidR="001A4A04">
        <w:t xml:space="preserve">in February </w:t>
      </w:r>
      <w:r w:rsidR="008900D4">
        <w:t xml:space="preserve">Robertson, the chief of the imperial general staff, was ousted. Although Robertson differed with Haig on the strategy to be pursued on the western front in 1917, he had loyally defended him in London.  Robertson was </w:t>
      </w:r>
      <w:r w:rsidR="00F53854">
        <w:t xml:space="preserve">succeeded </w:t>
      </w:r>
      <w:r w:rsidR="008900D4">
        <w:t xml:space="preserve">by Sir Henry Wilson, whom Haig distrusted not least because of his political instincts. In the succeeding months, Haig, like </w:t>
      </w:r>
      <w:proofErr w:type="spellStart"/>
      <w:r w:rsidR="008900D4">
        <w:t>Pétain</w:t>
      </w:r>
      <w:proofErr w:type="spellEnd"/>
      <w:r w:rsidR="008900D4">
        <w:t>, was increasingly subordinated to Foch.</w:t>
      </w:r>
      <w:r w:rsidR="00C92B11">
        <w:rPr>
          <w:rStyle w:val="FootnoteReference"/>
        </w:rPr>
        <w:footnoteReference w:id="11"/>
      </w:r>
      <w:r w:rsidR="008900D4">
        <w:t xml:space="preserve">  Lloyd George’s enthusiasm for Foch </w:t>
      </w:r>
      <w:r w:rsidR="00A921C7">
        <w:t>grew as the war progressed and after the armistice with Germany in November 1918 the British prime minister would credit the Frenchman with having won the war.</w:t>
      </w:r>
      <w:r w:rsidR="00A921C7">
        <w:rPr>
          <w:rStyle w:val="FootnoteReference"/>
        </w:rPr>
        <w:footnoteReference w:id="12"/>
      </w:r>
    </w:p>
    <w:p w14:paraId="6A4B7A58" w14:textId="416808B1" w:rsidR="00447004" w:rsidRDefault="00A921C7" w:rsidP="00456BF1">
      <w:pPr>
        <w:spacing w:line="480" w:lineRule="auto"/>
        <w:ind w:firstLine="720"/>
      </w:pPr>
      <w:r>
        <w:t xml:space="preserve">The Italians resisted the idea that their front should </w:t>
      </w:r>
      <w:r w:rsidR="005970BF">
        <w:t xml:space="preserve">brought under </w:t>
      </w:r>
      <w:r>
        <w:t>Foch’s co</w:t>
      </w:r>
      <w:r w:rsidR="005970BF">
        <w:t>mmand</w:t>
      </w:r>
      <w:r>
        <w:t>.</w:t>
      </w:r>
      <w:r w:rsidR="00F53854">
        <w:t xml:space="preserve"> However, the reassertion of political control over the military had been implemented even sooner on the Isonzo than it was on the Somme or the Marne. The </w:t>
      </w:r>
      <w:r w:rsidR="00535998">
        <w:t xml:space="preserve">breakthrough of the Central Powers at </w:t>
      </w:r>
      <w:proofErr w:type="spellStart"/>
      <w:r w:rsidR="00535998">
        <w:t>Caporetto</w:t>
      </w:r>
      <w:proofErr w:type="spellEnd"/>
      <w:r w:rsidR="00535998">
        <w:t xml:space="preserve"> in October 1917 led to the dismissal of Luigi Cadorna as the Italian commander-in-chief in November – significantly by the king.  </w:t>
      </w:r>
      <w:r w:rsidR="00B4666D">
        <w:t xml:space="preserve">Cadorna’s </w:t>
      </w:r>
      <w:r w:rsidR="00535998">
        <w:t>successor, Armando Diaz, rebuilt the army</w:t>
      </w:r>
      <w:r w:rsidR="00447004">
        <w:t>. A war council was formed and an effective prime minister</w:t>
      </w:r>
      <w:r w:rsidR="00600BAF">
        <w:t>,</w:t>
      </w:r>
      <w:r w:rsidR="00447004">
        <w:t xml:space="preserve"> Vittorio Orlando, appointed.  As one minister, Leonardo </w:t>
      </w:r>
      <w:proofErr w:type="spellStart"/>
      <w:r w:rsidR="00447004">
        <w:t>Bissolati</w:t>
      </w:r>
      <w:proofErr w:type="spellEnd"/>
      <w:r w:rsidR="00447004">
        <w:t>, put it in January 1918, ‘At last we are a government because we have a prime minister, that is, a coordinator’.</w:t>
      </w:r>
      <w:r w:rsidR="00447004">
        <w:rPr>
          <w:rStyle w:val="FootnoteReference"/>
        </w:rPr>
        <w:footnoteReference w:id="13"/>
      </w:r>
      <w:r w:rsidR="00447004">
        <w:t xml:space="preserve">  </w:t>
      </w:r>
      <w:r w:rsidR="00B4666D">
        <w:t>According to John Gooch, f</w:t>
      </w:r>
      <w:r w:rsidR="00535998">
        <w:t>or the first time ‘policy was shaped and timed by military practicalities’.</w:t>
      </w:r>
      <w:r w:rsidR="00535998">
        <w:rPr>
          <w:rStyle w:val="FootnoteReference"/>
        </w:rPr>
        <w:footnoteReference w:id="14"/>
      </w:r>
      <w:r w:rsidR="00535998">
        <w:t xml:space="preserve"> </w:t>
      </w:r>
    </w:p>
    <w:p w14:paraId="167B4279" w14:textId="64C8AEA0" w:rsidR="00A921C7" w:rsidRDefault="00447004" w:rsidP="00456BF1">
      <w:pPr>
        <w:spacing w:line="480" w:lineRule="auto"/>
        <w:ind w:firstLine="720"/>
      </w:pPr>
      <w:r>
        <w:t xml:space="preserve">Coordination, both within each of the allied states and across the alliance, enabled the formation of strategy and the delivery of victory. The creation of the Supreme War Council in </w:t>
      </w:r>
      <w:r w:rsidR="00B4666D">
        <w:t xml:space="preserve">November 1917 had greater significance than many historians have recognised.  The initial plan </w:t>
      </w:r>
      <w:r w:rsidR="008F05B4">
        <w:t xml:space="preserve">had been </w:t>
      </w:r>
      <w:r w:rsidR="00B4666D">
        <w:t xml:space="preserve">to give it muscle by creating a strategic reserve under its control.  </w:t>
      </w:r>
      <w:r w:rsidR="008F05B4">
        <w:t>One practical problem was the issue of numbers: where were the men to come from when the armies of b</w:t>
      </w:r>
      <w:r w:rsidR="00B4666D">
        <w:t xml:space="preserve">oth France and Britain had </w:t>
      </w:r>
      <w:r w:rsidR="008F05B4">
        <w:t xml:space="preserve">passed their peak strengths and that of the </w:t>
      </w:r>
      <w:r w:rsidR="00B4666D">
        <w:t xml:space="preserve">Americans had </w:t>
      </w:r>
      <w:r w:rsidR="008F05B4">
        <w:t xml:space="preserve">yet to </w:t>
      </w:r>
      <w:r w:rsidR="00B4666D">
        <w:t>arrive in Europe</w:t>
      </w:r>
      <w:r w:rsidR="008F05B4">
        <w:t>?  B</w:t>
      </w:r>
      <w:r w:rsidR="00B4666D">
        <w:t xml:space="preserve">oth </w:t>
      </w:r>
      <w:proofErr w:type="spellStart"/>
      <w:r w:rsidR="00B4666D">
        <w:t>Pétain</w:t>
      </w:r>
      <w:proofErr w:type="spellEnd"/>
      <w:r w:rsidR="00B4666D">
        <w:t xml:space="preserve"> and Haig worked to circumvent the plan for a reserve by pledging each other mutual support </w:t>
      </w:r>
      <w:r w:rsidR="008F05B4">
        <w:t xml:space="preserve">in the event of a German attack: </w:t>
      </w:r>
      <w:r w:rsidR="00B4666D">
        <w:t xml:space="preserve">a promise </w:t>
      </w:r>
      <w:r w:rsidR="008F05B4">
        <w:t xml:space="preserve">which </w:t>
      </w:r>
      <w:proofErr w:type="spellStart"/>
      <w:r w:rsidR="00B4666D">
        <w:t>Pétain</w:t>
      </w:r>
      <w:proofErr w:type="spellEnd"/>
      <w:r w:rsidR="00B4666D">
        <w:t xml:space="preserve"> fulfilled after 21 March 1918</w:t>
      </w:r>
      <w:r w:rsidR="008F05B4">
        <w:t xml:space="preserve">, but which Haig proved more reluctant to honour when the Germans’ blows fell on the French. In some respects the formation of </w:t>
      </w:r>
      <w:r w:rsidR="00B4666D">
        <w:t xml:space="preserve">the Supreme War Council </w:t>
      </w:r>
      <w:r w:rsidR="008F05B4">
        <w:t xml:space="preserve">had </w:t>
      </w:r>
      <w:r w:rsidR="00B4666D">
        <w:t xml:space="preserve">looked </w:t>
      </w:r>
      <w:r w:rsidR="008F05B4">
        <w:t xml:space="preserve">even </w:t>
      </w:r>
      <w:r w:rsidR="00B4666D">
        <w:t>further ahead</w:t>
      </w:r>
      <w:r w:rsidR="006F4012">
        <w:t xml:space="preserve">, to the day when </w:t>
      </w:r>
      <w:r w:rsidR="00B4666D">
        <w:t xml:space="preserve">the American Expeditionary Force would </w:t>
      </w:r>
      <w:r w:rsidR="006F4012">
        <w:t xml:space="preserve">be the dominant force on the western front and would therefore have to coordinate its actions with the French and British. That was expected to occur in mid-1919. As the American build-up strengthened in 1918, so did the role of the Supreme War Council. Its </w:t>
      </w:r>
      <w:r w:rsidR="00B4666D">
        <w:t xml:space="preserve">Permanent Military Representatives </w:t>
      </w:r>
      <w:r w:rsidR="00162991">
        <w:t>plotted the distribution of forces and the prioritisation of fronts, and from April 1918</w:t>
      </w:r>
      <w:r w:rsidR="006F4012">
        <w:t>,</w:t>
      </w:r>
      <w:r w:rsidR="00162991">
        <w:t xml:space="preserve"> </w:t>
      </w:r>
      <w:r w:rsidR="006F4012">
        <w:t xml:space="preserve">when </w:t>
      </w:r>
      <w:r w:rsidR="00162991">
        <w:t>Foch was given ‘strategic direction of military operations’</w:t>
      </w:r>
      <w:r w:rsidR="006F4012">
        <w:t xml:space="preserve">, provided him with a </w:t>
      </w:r>
      <w:r w:rsidR="006F4012" w:rsidRPr="00162991">
        <w:rPr>
          <w:i/>
          <w:iCs/>
        </w:rPr>
        <w:t>de facto</w:t>
      </w:r>
      <w:r w:rsidR="006F4012">
        <w:t>, if small, allied staff</w:t>
      </w:r>
      <w:r w:rsidR="00162991">
        <w:t>.</w:t>
      </w:r>
      <w:r w:rsidR="00162991">
        <w:rPr>
          <w:rStyle w:val="FootnoteReference"/>
        </w:rPr>
        <w:footnoteReference w:id="15"/>
      </w:r>
    </w:p>
    <w:p w14:paraId="1FBA159E" w14:textId="4AAB23DC" w:rsidR="00DD745D" w:rsidRDefault="00AE108B" w:rsidP="00456BF1">
      <w:pPr>
        <w:spacing w:line="480" w:lineRule="auto"/>
        <w:ind w:firstLine="720"/>
      </w:pPr>
      <w:r>
        <w:t>U</w:t>
      </w:r>
      <w:r w:rsidR="00162991">
        <w:t>nity in civil-military relations</w:t>
      </w:r>
      <w:r>
        <w:t xml:space="preserve"> </w:t>
      </w:r>
      <w:r w:rsidR="00162991">
        <w:t>delivered success in waging war</w:t>
      </w:r>
      <w:r>
        <w:t xml:space="preserve"> but then </w:t>
      </w:r>
      <w:r w:rsidR="00162991">
        <w:t>fragmented</w:t>
      </w:r>
      <w:r>
        <w:t xml:space="preserve"> once again at the moment of victory</w:t>
      </w:r>
      <w:r w:rsidR="00162991">
        <w:t>.</w:t>
      </w:r>
      <w:r w:rsidR="006826D6">
        <w:t xml:space="preserve">  </w:t>
      </w:r>
      <w:r w:rsidR="006F4012">
        <w:t xml:space="preserve">On 3 October 1918 </w:t>
      </w:r>
      <w:r w:rsidR="006826D6">
        <w:t>Germany requested an armistice</w:t>
      </w:r>
      <w:r w:rsidR="006F4012">
        <w:t xml:space="preserve">.  Immediately </w:t>
      </w:r>
      <w:r w:rsidR="006826D6">
        <w:t>old worries re</w:t>
      </w:r>
      <w:r>
        <w:t>surfaced</w:t>
      </w:r>
      <w:r w:rsidR="006826D6">
        <w:t xml:space="preserve"> and fresh ones opened.  As distrust between the statesmen and soldiers grew, the close coordination of policy and strategy which </w:t>
      </w:r>
      <w:r w:rsidR="00DD745D">
        <w:t>peace-making demanded was increasingly absent. What went wrong?</w:t>
      </w:r>
    </w:p>
    <w:p w14:paraId="79B56499" w14:textId="4F224E22" w:rsidR="007B5086" w:rsidRDefault="00DD745D" w:rsidP="00456BF1">
      <w:pPr>
        <w:spacing w:line="480" w:lineRule="auto"/>
        <w:ind w:firstLine="720"/>
      </w:pPr>
      <w:r>
        <w:t>First, the politicians had not expected</w:t>
      </w:r>
      <w:r w:rsidR="007B5086">
        <w:t xml:space="preserve"> to</w:t>
      </w:r>
      <w:r>
        <w:t xml:space="preserve"> win the war so soon.  </w:t>
      </w:r>
      <w:r w:rsidR="006F4012">
        <w:t xml:space="preserve">Allied planning was predicated on </w:t>
      </w:r>
      <w:r w:rsidR="00AE108B">
        <w:t xml:space="preserve">victory </w:t>
      </w:r>
      <w:r w:rsidR="006F4012">
        <w:t>after t</w:t>
      </w:r>
      <w:r w:rsidR="007B5086">
        <w:t>he American Expeditionary Force reach</w:t>
      </w:r>
      <w:r w:rsidR="006F4012">
        <w:t>ed</w:t>
      </w:r>
      <w:r w:rsidR="007B5086">
        <w:t xml:space="preserve"> its peak strength in June 1919.  </w:t>
      </w:r>
      <w:r w:rsidR="006F4012">
        <w:t xml:space="preserve">However, </w:t>
      </w:r>
      <w:r w:rsidR="00AE108B">
        <w:t xml:space="preserve">when the Germans’ fifth offensive of 1918, launched on 15 July, was checked, the balance on the western front swung the other way with unexpected rapidity.  In what was dubbed </w:t>
      </w:r>
      <w:r>
        <w:t>the second battle of the Marne, the</w:t>
      </w:r>
      <w:r w:rsidR="006F4012">
        <w:t xml:space="preserve"> French and American</w:t>
      </w:r>
      <w:r w:rsidR="00AE108B">
        <w:t>s</w:t>
      </w:r>
      <w:r w:rsidR="006F4012">
        <w:t xml:space="preserve"> </w:t>
      </w:r>
      <w:r>
        <w:t>counter-attack</w:t>
      </w:r>
      <w:r w:rsidR="00AE108B">
        <w:t>ed</w:t>
      </w:r>
      <w:r>
        <w:t xml:space="preserve"> on 18 July 1918 </w:t>
      </w:r>
      <w:r w:rsidR="00AE108B">
        <w:t xml:space="preserve">and </w:t>
      </w:r>
      <w:r>
        <w:t>regained the ground lost to the south of the river</w:t>
      </w:r>
      <w:r w:rsidR="00AE108B">
        <w:t>.  John Charteris, H</w:t>
      </w:r>
      <w:r w:rsidR="00B5693F">
        <w:t>aig’s erstwhile intelligence chief and now responsible for transport, wrote in his diary on that day that ‘it brings the end of the war much nearer’, and added ten days later, ‘Things are moving much more rapidly than appears from the published reports, and far more decisively than seemed possible a month ago.’</w:t>
      </w:r>
      <w:r w:rsidR="00B5693F">
        <w:rPr>
          <w:rStyle w:val="FootnoteReference"/>
        </w:rPr>
        <w:footnoteReference w:id="16"/>
      </w:r>
      <w:r w:rsidR="00B5693F">
        <w:t xml:space="preserve"> The </w:t>
      </w:r>
      <w:r>
        <w:t>allied general</w:t>
      </w:r>
      <w:r w:rsidR="007B5086">
        <w:t>s</w:t>
      </w:r>
      <w:r>
        <w:t xml:space="preserve"> began to realise that victory might come sooner than they had anticipated. </w:t>
      </w:r>
      <w:r w:rsidR="000C6A09">
        <w:t>I</w:t>
      </w:r>
      <w:r>
        <w:t>t is important not to overstate these hopes. As autumn arrived and the weather worsened, the allied armies would run out of steam</w:t>
      </w:r>
      <w:r w:rsidR="007B5086">
        <w:t>, with the</w:t>
      </w:r>
      <w:r w:rsidR="000C6A09">
        <w:t>ir</w:t>
      </w:r>
      <w:r w:rsidR="007B5086">
        <w:t xml:space="preserve"> </w:t>
      </w:r>
      <w:r>
        <w:t>lines of communication lengthen</w:t>
      </w:r>
      <w:r w:rsidR="007B5086">
        <w:t xml:space="preserve">ing and roads turning to mud. </w:t>
      </w:r>
      <w:r w:rsidR="000C6A09">
        <w:t xml:space="preserve">Moreover, the offensive operations of the so-called ‘hundred days’ increased their battle casualties just as the </w:t>
      </w:r>
      <w:r w:rsidR="007B5086">
        <w:t xml:space="preserve">second and most lethal wave of </w:t>
      </w:r>
      <w:r>
        <w:t xml:space="preserve">the influenza epidemic </w:t>
      </w:r>
      <w:r w:rsidR="000C6A09">
        <w:t>hospitalised large numbers</w:t>
      </w:r>
      <w:r w:rsidR="007B5086">
        <w:t>. In mid-September Foch, usually the most optimistic of commanders, told his wife that the war must end in 1919</w:t>
      </w:r>
      <w:r w:rsidR="000C6A09">
        <w:t>, not in 1918</w:t>
      </w:r>
      <w:r w:rsidR="007B5086">
        <w:t>.</w:t>
      </w:r>
      <w:r w:rsidR="007B5086">
        <w:rPr>
          <w:rStyle w:val="FootnoteReference"/>
        </w:rPr>
        <w:footnoteReference w:id="17"/>
      </w:r>
    </w:p>
    <w:p w14:paraId="51A11576" w14:textId="6545B052" w:rsidR="000C6A09" w:rsidRDefault="000C6A09" w:rsidP="003F36BF">
      <w:pPr>
        <w:spacing w:line="480" w:lineRule="auto"/>
        <w:ind w:firstLine="720"/>
      </w:pPr>
      <w:r>
        <w:t>T</w:t>
      </w:r>
      <w:r w:rsidR="004E24C9">
        <w:t>he German request for an armistice trigger</w:t>
      </w:r>
      <w:r>
        <w:t>ed</w:t>
      </w:r>
      <w:r w:rsidR="004E24C9">
        <w:t xml:space="preserve"> shorter-term horizons </w:t>
      </w:r>
      <w:r>
        <w:t xml:space="preserve">but hopes </w:t>
      </w:r>
      <w:r w:rsidR="00B5693F">
        <w:t xml:space="preserve">of a quick end </w:t>
      </w:r>
      <w:r w:rsidR="004E24C9">
        <w:t xml:space="preserve">were </w:t>
      </w:r>
      <w:r w:rsidR="00600BAF">
        <w:t xml:space="preserve">still </w:t>
      </w:r>
      <w:r w:rsidR="004E24C9">
        <w:t xml:space="preserve">tempered. </w:t>
      </w:r>
      <w:r>
        <w:t>Crucially, t</w:t>
      </w:r>
      <w:r w:rsidR="004E24C9">
        <w:t xml:space="preserve">he German </w:t>
      </w:r>
      <w:r w:rsidR="008F05B4">
        <w:t>note</w:t>
      </w:r>
      <w:r w:rsidR="004E24C9">
        <w:t xml:space="preserve"> contained a political dimension.  It was </w:t>
      </w:r>
      <w:r>
        <w:t xml:space="preserve">addressed </w:t>
      </w:r>
      <w:r w:rsidR="004E24C9">
        <w:t>to the American president, Woodrow Wilson, not to the other allies</w:t>
      </w:r>
      <w:r>
        <w:t xml:space="preserve"> or to the field commander on the western front, Foch. I</w:t>
      </w:r>
      <w:r w:rsidR="004E24C9">
        <w:t>t asked for negotiation o</w:t>
      </w:r>
      <w:r w:rsidR="008F05B4">
        <w:t>n</w:t>
      </w:r>
      <w:r w:rsidR="004E24C9">
        <w:t xml:space="preserve"> the basis of </w:t>
      </w:r>
      <w:r>
        <w:t xml:space="preserve">Wilson’s </w:t>
      </w:r>
      <w:r w:rsidR="004E24C9">
        <w:t xml:space="preserve">Fourteen Points, which </w:t>
      </w:r>
      <w:r>
        <w:t xml:space="preserve">the president </w:t>
      </w:r>
      <w:r w:rsidR="004E24C9">
        <w:t xml:space="preserve">had enunciated in January. Wilson responded quite properly by consulting his allied partners.  They, however, were not yet ready to </w:t>
      </w:r>
      <w:r w:rsidR="008F05B4">
        <w:t xml:space="preserve">negotiate the </w:t>
      </w:r>
      <w:r w:rsidR="004E24C9">
        <w:t>political terms</w:t>
      </w:r>
      <w:r w:rsidR="008F05B4">
        <w:t xml:space="preserve"> of a peace settlement</w:t>
      </w:r>
      <w:r w:rsidR="004E24C9">
        <w:t>: this was the sense in which they were ‘ambushed by victory’.</w:t>
      </w:r>
      <w:r w:rsidR="004E24C9">
        <w:rPr>
          <w:rStyle w:val="FootnoteReference"/>
        </w:rPr>
        <w:footnoteReference w:id="18"/>
      </w:r>
      <w:r w:rsidR="004E24C9">
        <w:t xml:space="preserve">  Each of them had developed full programmes of war aims, but </w:t>
      </w:r>
      <w:r>
        <w:t xml:space="preserve">some </w:t>
      </w:r>
      <w:r w:rsidR="008F05B4">
        <w:t xml:space="preserve">were </w:t>
      </w:r>
      <w:r w:rsidR="003F36BF">
        <w:t>still cont</w:t>
      </w:r>
      <w:r w:rsidR="008F05B4">
        <w:t xml:space="preserve">ested </w:t>
      </w:r>
      <w:r w:rsidR="003F36BF">
        <w:t>domestic</w:t>
      </w:r>
      <w:r w:rsidR="008F05B4">
        <w:t xml:space="preserve">ally </w:t>
      </w:r>
      <w:r w:rsidR="003F36BF">
        <w:t xml:space="preserve">and </w:t>
      </w:r>
      <w:r>
        <w:t>others</w:t>
      </w:r>
      <w:r w:rsidR="008F05B4">
        <w:t xml:space="preserve"> were more </w:t>
      </w:r>
      <w:r w:rsidR="003F36BF">
        <w:t xml:space="preserve">designed to pre-empt the post-war ambitions of their partners </w:t>
      </w:r>
      <w:r w:rsidR="008F05B4">
        <w:t>tha</w:t>
      </w:r>
      <w:r>
        <w:t>n</w:t>
      </w:r>
      <w:r w:rsidR="008F05B4">
        <w:t xml:space="preserve"> to punish </w:t>
      </w:r>
      <w:r w:rsidR="003F36BF">
        <w:t>their enemies.  The</w:t>
      </w:r>
      <w:r>
        <w:t xml:space="preserve"> allies had cobbled together a way to fight a coalition war, but they had not drawn up a </w:t>
      </w:r>
      <w:r w:rsidR="003F36BF">
        <w:t xml:space="preserve">collective agreement on their joint goals. Because the German request had come a year </w:t>
      </w:r>
      <w:r>
        <w:t xml:space="preserve">early, </w:t>
      </w:r>
      <w:r w:rsidR="003F36BF">
        <w:t xml:space="preserve">in 1918, not in 1919, they had </w:t>
      </w:r>
      <w:r>
        <w:t xml:space="preserve">been deprived of </w:t>
      </w:r>
      <w:r w:rsidR="003F36BF">
        <w:t>a whole year of planning and preparation</w:t>
      </w:r>
      <w:r>
        <w:t xml:space="preserve"> for peace</w:t>
      </w:r>
      <w:r w:rsidR="003F36BF">
        <w:t xml:space="preserve">. </w:t>
      </w:r>
    </w:p>
    <w:p w14:paraId="686C0F4F" w14:textId="59EF2133" w:rsidR="00E42369" w:rsidRDefault="003F36BF" w:rsidP="003F36BF">
      <w:pPr>
        <w:spacing w:line="480" w:lineRule="auto"/>
        <w:ind w:firstLine="720"/>
      </w:pPr>
      <w:r>
        <w:t xml:space="preserve">Nor did they know how seriously to take the German offer. </w:t>
      </w:r>
      <w:r w:rsidR="000C6A09">
        <w:t xml:space="preserve">Almost from the war’s outset in 1914 </w:t>
      </w:r>
      <w:r>
        <w:t xml:space="preserve">Germany had used </w:t>
      </w:r>
      <w:r w:rsidR="000C6A09">
        <w:t xml:space="preserve">offers to negotiate a </w:t>
      </w:r>
      <w:r>
        <w:t xml:space="preserve">separate peace </w:t>
      </w:r>
      <w:r w:rsidR="003E29ED">
        <w:t xml:space="preserve">– particularly with Russia - </w:t>
      </w:r>
      <w:r>
        <w:t xml:space="preserve">to </w:t>
      </w:r>
      <w:r w:rsidR="00463775">
        <w:t xml:space="preserve">try to peel one ally off from the other: the aim here was not so much to end the war as to </w:t>
      </w:r>
      <w:r w:rsidR="00F168D5">
        <w:t xml:space="preserve">enable </w:t>
      </w:r>
      <w:r w:rsidR="005B30D3">
        <w:t xml:space="preserve">the Central Powers </w:t>
      </w:r>
      <w:r w:rsidR="00F168D5">
        <w:t>to concentrate</w:t>
      </w:r>
      <w:r w:rsidR="005B30D3">
        <w:t xml:space="preserve"> their </w:t>
      </w:r>
      <w:r w:rsidR="00F168D5">
        <w:t xml:space="preserve">efforts and so </w:t>
      </w:r>
      <w:r w:rsidR="00463775">
        <w:t xml:space="preserve">wage </w:t>
      </w:r>
      <w:r w:rsidR="00F168D5">
        <w:t>war</w:t>
      </w:r>
      <w:r w:rsidR="00463775">
        <w:t xml:space="preserve"> more effectively. Th</w:t>
      </w:r>
      <w:r w:rsidR="00F168D5">
        <w:t>e</w:t>
      </w:r>
      <w:r w:rsidR="00463775">
        <w:t xml:space="preserve"> </w:t>
      </w:r>
      <w:r w:rsidR="00F168D5">
        <w:t xml:space="preserve">armistice </w:t>
      </w:r>
      <w:r w:rsidR="00463775">
        <w:t>offer</w:t>
      </w:r>
      <w:r w:rsidR="00F168D5">
        <w:t xml:space="preserve"> of October 1918</w:t>
      </w:r>
      <w:r w:rsidR="00463775">
        <w:t xml:space="preserve"> </w:t>
      </w:r>
      <w:r>
        <w:t xml:space="preserve">– with its direct appeal to Wilson </w:t>
      </w:r>
      <w:r w:rsidR="00F168D5">
        <w:t xml:space="preserve">alone </w:t>
      </w:r>
      <w:r>
        <w:t>– s</w:t>
      </w:r>
      <w:r w:rsidR="005B30D3">
        <w:t>eemed designed to split the United States from its European partners and so s</w:t>
      </w:r>
      <w:r>
        <w:t xml:space="preserve">macked of similar manoeuvring. </w:t>
      </w:r>
      <w:r w:rsidR="005B30D3">
        <w:t>The German army had proved extraordinarily resilient, as evidenced most recently by the sequence of five offensives it had just launched between March and July. It was still fighting well inside the French frontier and the pessimists could not discount its ability to attack once more – if not in the west, then in Italy. Al</w:t>
      </w:r>
      <w:r>
        <w:t xml:space="preserve">though the statesmen </w:t>
      </w:r>
      <w:r w:rsidR="005B30D3">
        <w:t xml:space="preserve">were </w:t>
      </w:r>
      <w:r>
        <w:t>kept abreast of the generals’ rising optimism as the victory of 18 July was followed by</w:t>
      </w:r>
      <w:r w:rsidR="00F168D5">
        <w:t xml:space="preserve"> the</w:t>
      </w:r>
      <w:r>
        <w:t xml:space="preserve"> sequence of advances </w:t>
      </w:r>
      <w:r w:rsidR="00E42369">
        <w:t>beginning at Amiens on 8 August, they had learnt through bitter experience to be cautious.  Generals, including both Foch and Haig, had told them too often before that the next battle would be decisive</w:t>
      </w:r>
      <w:r w:rsidR="005B30D3">
        <w:t xml:space="preserve">. </w:t>
      </w:r>
    </w:p>
    <w:p w14:paraId="2EC3B24F" w14:textId="5868D55C" w:rsidR="009A0286" w:rsidRDefault="005B30D3" w:rsidP="009A0286">
      <w:pPr>
        <w:spacing w:line="480" w:lineRule="auto"/>
        <w:ind w:firstLine="720"/>
      </w:pPr>
      <w:r>
        <w:t xml:space="preserve">Victory was more palpable on </w:t>
      </w:r>
      <w:r w:rsidR="00732758">
        <w:t xml:space="preserve">other fronts. </w:t>
      </w:r>
      <w:r w:rsidR="00D0529F">
        <w:t xml:space="preserve">In mid-September the allies broke through in Macedonia and advanced towards the Danube. </w:t>
      </w:r>
      <w:r w:rsidR="00732758">
        <w:t xml:space="preserve">The collapse of the Balkan front cut off the Ottoman empire from Germany and Austria-Hungary and threatened Constantinople with a landward attack from the west.  </w:t>
      </w:r>
      <w:r w:rsidR="00463775">
        <w:t>In the same month t</w:t>
      </w:r>
      <w:r w:rsidR="00D05A91">
        <w:t>he Ottomans</w:t>
      </w:r>
      <w:r w:rsidR="00D0529F">
        <w:t xml:space="preserve"> lost </w:t>
      </w:r>
      <w:r w:rsidR="00D05A91">
        <w:t>their</w:t>
      </w:r>
      <w:r w:rsidR="00732758">
        <w:t xml:space="preserve"> hold on Palestine and Syria after suffering a crushing defeat at Megiddo. </w:t>
      </w:r>
      <w:r w:rsidR="00D0529F">
        <w:t xml:space="preserve">When Bulgaria requested an armistice at the end of </w:t>
      </w:r>
      <w:r w:rsidR="00463775">
        <w:t>September</w:t>
      </w:r>
      <w:r w:rsidR="00D0529F">
        <w:t xml:space="preserve">, </w:t>
      </w:r>
      <w:r w:rsidR="00732758">
        <w:t>Henry Wilson,</w:t>
      </w:r>
      <w:r w:rsidR="00463775">
        <w:t xml:space="preserve"> </w:t>
      </w:r>
      <w:r w:rsidR="00732758">
        <w:t xml:space="preserve">as </w:t>
      </w:r>
      <w:r w:rsidR="00463775">
        <w:t xml:space="preserve">Britain’s </w:t>
      </w:r>
      <w:r w:rsidR="00732758">
        <w:t xml:space="preserve">Chief of the Imperial General Staff, asked ‘what our Foreign Office is </w:t>
      </w:r>
      <w:r w:rsidR="00D0529F">
        <w:t>going to do if the Turks follow suit’.</w:t>
      </w:r>
      <w:r w:rsidR="00463775">
        <w:t xml:space="preserve">  Arthur Balfour, the Foreign Secretary, responded that he did not know.</w:t>
      </w:r>
      <w:r w:rsidR="00D0529F">
        <w:t xml:space="preserve"> Britain</w:t>
      </w:r>
      <w:r w:rsidR="00D05A91">
        <w:t xml:space="preserve"> </w:t>
      </w:r>
      <w:r w:rsidR="00D0529F">
        <w:t>had made incompatible promises in the Middle East to the Arabs, the French and the Je</w:t>
      </w:r>
      <w:r w:rsidR="00D05A91">
        <w:t>ws</w:t>
      </w:r>
      <w:r w:rsidR="00463775">
        <w:t xml:space="preserve">, while also developing its own </w:t>
      </w:r>
      <w:r w:rsidR="00F168D5">
        <w:t xml:space="preserve">imperial </w:t>
      </w:r>
      <w:r w:rsidR="00463775">
        <w:t>ambitions. T</w:t>
      </w:r>
      <w:r w:rsidR="00D0529F">
        <w:t xml:space="preserve">he speed of military events </w:t>
      </w:r>
      <w:r w:rsidR="00463775">
        <w:t xml:space="preserve">had outstripped </w:t>
      </w:r>
      <w:r w:rsidR="00D0529F">
        <w:t xml:space="preserve">the pace of </w:t>
      </w:r>
      <w:r w:rsidR="00F168D5">
        <w:t xml:space="preserve">political </w:t>
      </w:r>
      <w:r w:rsidR="00D0529F">
        <w:t>negotiation.</w:t>
      </w:r>
      <w:r w:rsidR="00D0529F">
        <w:rPr>
          <w:rStyle w:val="FootnoteReference"/>
        </w:rPr>
        <w:footnoteReference w:id="19"/>
      </w:r>
      <w:r w:rsidR="00E42369">
        <w:t xml:space="preserve"> </w:t>
      </w:r>
    </w:p>
    <w:p w14:paraId="45073693" w14:textId="1974EDE4" w:rsidR="00162991" w:rsidRDefault="00D05A91" w:rsidP="00456BF1">
      <w:pPr>
        <w:spacing w:line="480" w:lineRule="auto"/>
        <w:ind w:firstLine="720"/>
      </w:pPr>
      <w:r>
        <w:t xml:space="preserve">In France, Foch </w:t>
      </w:r>
      <w:r w:rsidR="00753578">
        <w:t xml:space="preserve">– like Henry Wilson - </w:t>
      </w:r>
      <w:r>
        <w:t xml:space="preserve">saw the need in October to </w:t>
      </w:r>
      <w:r w:rsidR="00A64DB4">
        <w:t>link</w:t>
      </w:r>
      <w:r>
        <w:t xml:space="preserve"> military effects with political outcomes.  </w:t>
      </w:r>
      <w:r w:rsidR="00A64DB4">
        <w:t>He believed that, i</w:t>
      </w:r>
      <w:r>
        <w:t xml:space="preserve">f the Germans were serious </w:t>
      </w:r>
      <w:r w:rsidR="00463775">
        <w:t>about surrendering</w:t>
      </w:r>
      <w:r>
        <w:t xml:space="preserve">, </w:t>
      </w:r>
      <w:r w:rsidR="00A64DB4">
        <w:t xml:space="preserve">the allies had to exploit </w:t>
      </w:r>
      <w:r w:rsidR="00F168D5">
        <w:t xml:space="preserve">the moment of </w:t>
      </w:r>
      <w:r w:rsidR="00A64DB4">
        <w:t xml:space="preserve">their </w:t>
      </w:r>
      <w:r w:rsidR="009A0286">
        <w:t xml:space="preserve">military success </w:t>
      </w:r>
      <w:r w:rsidR="00A64DB4">
        <w:t xml:space="preserve">to guarantee France’s </w:t>
      </w:r>
      <w:r w:rsidR="009A0286">
        <w:t>long-term security</w:t>
      </w:r>
      <w:r w:rsidR="00A64DB4">
        <w:t xml:space="preserve">.  If they did not, </w:t>
      </w:r>
      <w:r w:rsidR="009A0286">
        <w:t>the peace would</w:t>
      </w:r>
      <w:r w:rsidR="00A64DB4">
        <w:t xml:space="preserve"> not</w:t>
      </w:r>
      <w:r w:rsidR="009A0286">
        <w:t xml:space="preserve"> </w:t>
      </w:r>
      <w:r w:rsidR="00A64DB4">
        <w:t>last</w:t>
      </w:r>
      <w:r w:rsidR="009A0286">
        <w:t>. Foch wanted t</w:t>
      </w:r>
      <w:r w:rsidR="00A64DB4">
        <w:t xml:space="preserve">o dismantle </w:t>
      </w:r>
      <w:r w:rsidR="009A0286">
        <w:t>Prussia</w:t>
      </w:r>
      <w:r w:rsidR="00A64DB4">
        <w:t xml:space="preserve"> which he saw as the source of German militarism, to </w:t>
      </w:r>
      <w:r w:rsidR="009A0286">
        <w:t xml:space="preserve">return Alsace-Lorraine </w:t>
      </w:r>
      <w:r w:rsidR="00A64DB4">
        <w:t xml:space="preserve">to France </w:t>
      </w:r>
      <w:r w:rsidR="009A0286">
        <w:t>and t</w:t>
      </w:r>
      <w:r w:rsidR="00A64DB4">
        <w:t>o establish t</w:t>
      </w:r>
      <w:r w:rsidR="009A0286">
        <w:t>he Franco-German border on the Rhine.</w:t>
      </w:r>
      <w:r w:rsidR="009A0286">
        <w:rPr>
          <w:rStyle w:val="FootnoteReference"/>
        </w:rPr>
        <w:footnoteReference w:id="20"/>
      </w:r>
      <w:r w:rsidR="009A0286">
        <w:t xml:space="preserve">  </w:t>
      </w:r>
      <w:r w:rsidR="00A64DB4">
        <w:t>Few soldiers</w:t>
      </w:r>
      <w:r w:rsidR="009A0286">
        <w:t>, and certainly n</w:t>
      </w:r>
      <w:r w:rsidR="00A64DB4">
        <w:t xml:space="preserve">either </w:t>
      </w:r>
      <w:r w:rsidR="009A0286">
        <w:t xml:space="preserve">Foch </w:t>
      </w:r>
      <w:r w:rsidR="00A64DB4">
        <w:t>n</w:t>
      </w:r>
      <w:r w:rsidR="009A0286">
        <w:t xml:space="preserve">or any of the </w:t>
      </w:r>
      <w:r w:rsidR="00F168D5">
        <w:t xml:space="preserve">Supreme War Council’s </w:t>
      </w:r>
      <w:r w:rsidR="009A0286">
        <w:t>Permanent Military Representatives</w:t>
      </w:r>
      <w:r w:rsidR="00A64DB4">
        <w:t xml:space="preserve">, </w:t>
      </w:r>
      <w:r w:rsidR="009A0286">
        <w:t xml:space="preserve">trusted the Germans to keep their word.  </w:t>
      </w:r>
      <w:r w:rsidR="00A64DB4">
        <w:t>In 1914, when they had invaded Belgium, t</w:t>
      </w:r>
      <w:r w:rsidR="009A0286">
        <w:t>hey had disregarded their treaty obligations.  ‘Who wants to talk with an ad</w:t>
      </w:r>
      <w:r w:rsidR="005447EC">
        <w:t>versary’, Foch asked, ‘who tears up treaties as though they were scraps of paper … with no respect for sacred rights, who reduces people to slavery, deports them like cattle [?]’</w:t>
      </w:r>
      <w:r w:rsidR="005447EC">
        <w:rPr>
          <w:rStyle w:val="FootnoteReference"/>
        </w:rPr>
        <w:footnoteReference w:id="21"/>
      </w:r>
    </w:p>
    <w:p w14:paraId="03428595" w14:textId="2E51412A" w:rsidR="00C77A34" w:rsidRDefault="005447EC" w:rsidP="00456BF1">
      <w:pPr>
        <w:spacing w:line="480" w:lineRule="auto"/>
        <w:ind w:firstLine="720"/>
      </w:pPr>
      <w:r>
        <w:t xml:space="preserve">The politicians objected to this conflation of military victory with political outcomes for three reasons. </w:t>
      </w:r>
      <w:r w:rsidR="00A64DB4">
        <w:t>First, they themselves were not only not agreed on what th</w:t>
      </w:r>
      <w:r w:rsidR="00C77A34">
        <w:t xml:space="preserve">e peace </w:t>
      </w:r>
      <w:r w:rsidR="00A64DB4">
        <w:t xml:space="preserve">terms </w:t>
      </w:r>
      <w:r w:rsidR="00C77A34">
        <w:t xml:space="preserve">should be, they were also fearful of the role of the United States and Wilson’s potential domination of the outcome. Secondly, because the evidence that the German army had been defeated on the western front was not wholly persuasive, they feared that, if the terms demanded of Germany were too extreme, they would be rejected and the war would continue. </w:t>
      </w:r>
      <w:r w:rsidR="00F168D5">
        <w:t xml:space="preserve">Some </w:t>
      </w:r>
      <w:r w:rsidR="00C77A34">
        <w:t>generals, pre-eminently Britain’s Douglas Haig but on occasion Foch himself, feared that might be the case</w:t>
      </w:r>
      <w:r w:rsidR="00F168D5">
        <w:t xml:space="preserve"> and so confirmed these fears</w:t>
      </w:r>
      <w:r w:rsidR="00C77A34">
        <w:t>.</w:t>
      </w:r>
      <w:r w:rsidR="00C77A34">
        <w:rPr>
          <w:rStyle w:val="FootnoteReference"/>
        </w:rPr>
        <w:footnoteReference w:id="22"/>
      </w:r>
      <w:r>
        <w:t xml:space="preserve"> </w:t>
      </w:r>
      <w:r w:rsidR="00C77A34">
        <w:t>Thirdly, the</w:t>
      </w:r>
      <w:r w:rsidR="00600BAF">
        <w:t xml:space="preserve"> politicians </w:t>
      </w:r>
      <w:r w:rsidR="00C77A34">
        <w:t>resented soldiers entering a sphere which they saw as the</w:t>
      </w:r>
      <w:r w:rsidR="008804FD">
        <w:t>ir</w:t>
      </w:r>
      <w:r w:rsidR="00C77A34">
        <w:t xml:space="preserve"> preserve: the</w:t>
      </w:r>
      <w:r w:rsidR="008804FD">
        <w:t>y</w:t>
      </w:r>
      <w:r w:rsidR="00C77A34">
        <w:t xml:space="preserve"> had been dancing to the tunes of over-mighty warriors for too long.</w:t>
      </w:r>
    </w:p>
    <w:p w14:paraId="523A34B8" w14:textId="0AB042A0" w:rsidR="00192465" w:rsidRDefault="00C77A34" w:rsidP="00456BF1">
      <w:pPr>
        <w:spacing w:line="480" w:lineRule="auto"/>
        <w:ind w:firstLine="720"/>
      </w:pPr>
      <w:r>
        <w:t>Clemenceau in particular asserted the need for a classic division of powers.  Let the war be ended on military terms</w:t>
      </w:r>
      <w:r w:rsidR="00192465">
        <w:t xml:space="preserve"> and then peace could be settled by the civilians. Strategy should cease when the fighting ended and diplomacy should take its place. Foreign ministers had been marginalised during the war by general staffs and they were anxious to reassert their primacy. Distrust between Clemenceau and Foch grew from October 1918 onwards</w:t>
      </w:r>
      <w:r w:rsidR="00D23870">
        <w:t>, before the armistice with Germany was even signed</w:t>
      </w:r>
      <w:r w:rsidR="00192465">
        <w:t xml:space="preserve">: it was as though Clemenceau the socialist and </w:t>
      </w:r>
      <w:proofErr w:type="spellStart"/>
      <w:r w:rsidR="00192465">
        <w:t>Dreyfusard</w:t>
      </w:r>
      <w:proofErr w:type="spellEnd"/>
      <w:r w:rsidR="00192465">
        <w:t xml:space="preserve"> stepped forward to replace Clemenceau the organiser of victory.</w:t>
      </w:r>
    </w:p>
    <w:p w14:paraId="60D7B357" w14:textId="02F34B9F" w:rsidR="00C77A34" w:rsidRDefault="00D23870" w:rsidP="00456BF1">
      <w:pPr>
        <w:spacing w:line="480" w:lineRule="auto"/>
        <w:ind w:firstLine="720"/>
      </w:pPr>
      <w:r>
        <w:t xml:space="preserve">The </w:t>
      </w:r>
      <w:r w:rsidR="00753578">
        <w:t xml:space="preserve">trouble with this separation of powers was that the </w:t>
      </w:r>
      <w:r>
        <w:t xml:space="preserve">war </w:t>
      </w:r>
      <w:r w:rsidR="00192465">
        <w:t>was not</w:t>
      </w:r>
      <w:r>
        <w:t xml:space="preserve"> </w:t>
      </w:r>
      <w:r w:rsidR="00192465">
        <w:t>over</w:t>
      </w:r>
      <w:r w:rsidR="00753578">
        <w:t xml:space="preserve">.  It was certainly not over </w:t>
      </w:r>
      <w:r w:rsidR="00192465">
        <w:t xml:space="preserve">in October, </w:t>
      </w:r>
      <w:r w:rsidR="00753578">
        <w:t xml:space="preserve">but nor did it end </w:t>
      </w:r>
      <w:r>
        <w:t xml:space="preserve">in November, when </w:t>
      </w:r>
      <w:r w:rsidR="00192465">
        <w:t xml:space="preserve">the last </w:t>
      </w:r>
      <w:r w:rsidR="00D41722">
        <w:t>three o</w:t>
      </w:r>
      <w:r w:rsidR="00192465">
        <w:t xml:space="preserve">f the armistices </w:t>
      </w:r>
      <w:r w:rsidR="00D41722">
        <w:t xml:space="preserve">– those with Austria, Germany and Hungary - </w:t>
      </w:r>
      <w:r w:rsidR="00192465">
        <w:t xml:space="preserve">were signed.  An English legal textbook on the termination of war and treaties of peace, published in 1916, made clear that an armistice was limited in time, and could be either the preliminary to a peace negotiation </w:t>
      </w:r>
      <w:r w:rsidR="00D41722">
        <w:t>or its product. It quoted article 36 of the 1907 Hague convention: ‘An armistice suspends military operations by mutual agreement between the belligerent parties.  If its duration is not defined, the belligerents may resume operations at any time, provided always that the enemy is warned within the time agreed upon.’</w:t>
      </w:r>
      <w:r w:rsidR="00D41722">
        <w:rPr>
          <w:rStyle w:val="FootnoteReference"/>
        </w:rPr>
        <w:footnoteReference w:id="23"/>
      </w:r>
      <w:r w:rsidR="00D41722">
        <w:t xml:space="preserve"> The author, Dr Coleman Phillipson, a barrister </w:t>
      </w:r>
      <w:r w:rsidR="008804FD">
        <w:t>at</w:t>
      </w:r>
      <w:r w:rsidR="00D41722">
        <w:t xml:space="preserve"> the Inner Temple in London, went on to say that ‘there are no settled rules with regard to the conclusion of the </w:t>
      </w:r>
      <w:r w:rsidR="00904563">
        <w:t>armistice conventions for the purpose of instituting or carrying on peace negotiations’, and added presciently: ‘Diplomacy is always more effective when supported by victorious arms; but cases are not wanting … where the victor in the field was not equal to his adversary’s diplomacy in the conference chamber, and eventually derived little or no advantage from his martial success.’</w:t>
      </w:r>
      <w:r w:rsidR="00904563">
        <w:rPr>
          <w:rStyle w:val="FootnoteReference"/>
        </w:rPr>
        <w:footnoteReference w:id="24"/>
      </w:r>
    </w:p>
    <w:p w14:paraId="4BD53047" w14:textId="61596D83" w:rsidR="00D23870" w:rsidRDefault="00753578" w:rsidP="00456BF1">
      <w:pPr>
        <w:spacing w:line="480" w:lineRule="auto"/>
        <w:ind w:firstLine="720"/>
      </w:pPr>
      <w:r>
        <w:t xml:space="preserve">The allies were right to be wary. </w:t>
      </w:r>
      <w:r w:rsidR="00904563">
        <w:t xml:space="preserve">Erich Ludendorff, the First Quartermaster General </w:t>
      </w:r>
      <w:r w:rsidR="008A72A1">
        <w:t xml:space="preserve">of the German army, </w:t>
      </w:r>
      <w:r w:rsidR="00904563">
        <w:t xml:space="preserve">had not seen his impetuous </w:t>
      </w:r>
      <w:r w:rsidR="008A72A1">
        <w:t>d</w:t>
      </w:r>
      <w:r w:rsidR="00904563">
        <w:t xml:space="preserve">emand for an armistice as necessarily the end of the war. On 1 October he told one of </w:t>
      </w:r>
      <w:r w:rsidR="00D23870">
        <w:t xml:space="preserve">the staff officers at the </w:t>
      </w:r>
      <w:proofErr w:type="spellStart"/>
      <w:r w:rsidR="00D23870">
        <w:t>Oberste</w:t>
      </w:r>
      <w:proofErr w:type="spellEnd"/>
      <w:r w:rsidR="00D23870">
        <w:t xml:space="preserve"> </w:t>
      </w:r>
      <w:proofErr w:type="spellStart"/>
      <w:r w:rsidR="00D23870">
        <w:t>Heeresleitung</w:t>
      </w:r>
      <w:proofErr w:type="spellEnd"/>
      <w:r w:rsidR="004146A8">
        <w:t xml:space="preserve"> (OHL)</w:t>
      </w:r>
      <w:r w:rsidR="00D23870">
        <w:t xml:space="preserve">, the German supreme command, </w:t>
      </w:r>
      <w:r w:rsidR="008A72A1">
        <w:t>that he did not expect Foch to grant an armistice but that the important thing was to grab a breathing space from the fighting on the western front.</w:t>
      </w:r>
      <w:r w:rsidR="00A63896">
        <w:rPr>
          <w:rStyle w:val="FootnoteReference"/>
        </w:rPr>
        <w:footnoteReference w:id="25"/>
      </w:r>
      <w:r w:rsidR="008A72A1">
        <w:t xml:space="preserve"> By imagining that the allied response would rest with Foch, he was treating the matter as narrowly military, but he had then </w:t>
      </w:r>
      <w:r w:rsidR="00D23870">
        <w:t xml:space="preserve">contradicted that interpretation by </w:t>
      </w:r>
      <w:r w:rsidR="008A72A1">
        <w:t>insist</w:t>
      </w:r>
      <w:r w:rsidR="004146A8">
        <w:t>ing</w:t>
      </w:r>
      <w:r w:rsidR="008A72A1">
        <w:t xml:space="preserve"> that Germany’s newly appointed chancellor, Max von Baden, </w:t>
      </w:r>
      <w:r w:rsidR="008804FD">
        <w:t xml:space="preserve">not the army’s command (and Foch’s peers), </w:t>
      </w:r>
      <w:r w:rsidR="008A72A1">
        <w:t>t</w:t>
      </w:r>
      <w:r>
        <w:t>ake</w:t>
      </w:r>
      <w:r w:rsidR="008A72A1">
        <w:t xml:space="preserve"> responsibility for the negotiations. Max von Baden, like the politicians on the other side of the line, wanted more time to line up his options, not least because he – unlike Ludendorff – recognised th</w:t>
      </w:r>
      <w:r w:rsidR="00A63896">
        <w:t xml:space="preserve">at </w:t>
      </w:r>
      <w:r w:rsidR="005F5B19">
        <w:t xml:space="preserve">the </w:t>
      </w:r>
      <w:r w:rsidR="008A72A1">
        <w:t>political implications of such a step</w:t>
      </w:r>
      <w:r w:rsidR="00A63896">
        <w:t xml:space="preserve"> would be irreversible</w:t>
      </w:r>
      <w:r w:rsidR="008A72A1">
        <w:t xml:space="preserve">.  </w:t>
      </w:r>
    </w:p>
    <w:p w14:paraId="4CF954AE" w14:textId="1A09E537" w:rsidR="005F5B19" w:rsidRDefault="00D23870" w:rsidP="00456BF1">
      <w:pPr>
        <w:spacing w:line="480" w:lineRule="auto"/>
        <w:ind w:firstLine="720"/>
      </w:pPr>
      <w:r>
        <w:t xml:space="preserve">Throughout the war Ludendorff had been </w:t>
      </w:r>
      <w:r w:rsidR="00753578">
        <w:t xml:space="preserve">prone to </w:t>
      </w:r>
      <w:r>
        <w:t>depress</w:t>
      </w:r>
      <w:r w:rsidR="00753578">
        <w:t>ion</w:t>
      </w:r>
      <w:r>
        <w:t xml:space="preserve">, only then to recover his optimism.  </w:t>
      </w:r>
      <w:r w:rsidR="004146A8">
        <w:t xml:space="preserve">On previous occasions his immediate military superior, the Chief of the General Staff, Paul von Hindenburg, had managed his mood swings. Now, however, Ludendorff had handed the chancellor that responsibility. </w:t>
      </w:r>
      <w:r>
        <w:t xml:space="preserve">Three weeks after insisting that an armistice was essential, </w:t>
      </w:r>
      <w:r w:rsidR="004146A8">
        <w:t xml:space="preserve">Ludendorff </w:t>
      </w:r>
      <w:r>
        <w:t>changed his mind, argu</w:t>
      </w:r>
      <w:r w:rsidR="004146A8">
        <w:t>ing</w:t>
      </w:r>
      <w:r>
        <w:t xml:space="preserve"> that fresh manpower could after all be made available and </w:t>
      </w:r>
      <w:r w:rsidR="004146A8">
        <w:t xml:space="preserve">that the army could fight on.  </w:t>
      </w:r>
      <w:r w:rsidR="0093426F">
        <w:t xml:space="preserve">What prompted this </w:t>
      </w:r>
      <w:r w:rsidR="0093426F">
        <w:rPr>
          <w:i/>
          <w:iCs/>
        </w:rPr>
        <w:t>volte face</w:t>
      </w:r>
      <w:r w:rsidR="004146A8">
        <w:t xml:space="preserve"> was </w:t>
      </w:r>
      <w:r w:rsidR="00A63896">
        <w:t xml:space="preserve">Wilson’s </w:t>
      </w:r>
      <w:r w:rsidR="000B78F0">
        <w:t xml:space="preserve">third </w:t>
      </w:r>
      <w:r w:rsidR="00A63896">
        <w:t>note</w:t>
      </w:r>
      <w:r w:rsidR="004146A8">
        <w:t xml:space="preserve">, sent on 23 October 1918, which emphasised </w:t>
      </w:r>
      <w:r w:rsidR="000B78F0">
        <w:t xml:space="preserve">that an armistice would need to make ‘a renewal of hostilities on the part of Germany impossible’ and that one way of ensuring that outcome was </w:t>
      </w:r>
      <w:r w:rsidR="004146A8">
        <w:t xml:space="preserve">that </w:t>
      </w:r>
      <w:r w:rsidR="000B78F0">
        <w:t xml:space="preserve">it should be preceded by the full democratisation of the German government.  </w:t>
      </w:r>
      <w:r w:rsidR="008D78DF">
        <w:t xml:space="preserve">Two days later OHL issued an army order that interpreted the American note as a demand to capitulate.  It stated that this was ‘unacceptable for us soldiers’ and that the response must be ‘to prolong our resistance to the utmost of our power’. The </w:t>
      </w:r>
      <w:r w:rsidR="005F5B19">
        <w:t xml:space="preserve">next day the </w:t>
      </w:r>
      <w:r w:rsidR="008D78DF">
        <w:t>Kaiser dismissed Ludendorf</w:t>
      </w:r>
      <w:r w:rsidR="005F5B19">
        <w:t>f</w:t>
      </w:r>
      <w:r w:rsidR="008D78DF">
        <w:t xml:space="preserve"> at the chancellor’s request: Max von Baden </w:t>
      </w:r>
      <w:r w:rsidR="005F5B19">
        <w:t xml:space="preserve">still hoped to avoid the Kaiser’s abdication and so </w:t>
      </w:r>
      <w:r w:rsidR="008D78DF">
        <w:t xml:space="preserve">put the preservation of the Reich ahead of </w:t>
      </w:r>
      <w:r w:rsidR="004146A8">
        <w:t xml:space="preserve">the </w:t>
      </w:r>
      <w:r w:rsidR="005F5B19">
        <w:t>army command</w:t>
      </w:r>
      <w:r w:rsidR="004146A8">
        <w:t>’s self-esteem</w:t>
      </w:r>
      <w:r w:rsidR="005F5B19">
        <w:t>.</w:t>
      </w:r>
      <w:r w:rsidR="005F5B19">
        <w:rPr>
          <w:rStyle w:val="FootnoteReference"/>
        </w:rPr>
        <w:footnoteReference w:id="26"/>
      </w:r>
      <w:r w:rsidR="000B78F0">
        <w:t xml:space="preserve"> </w:t>
      </w:r>
      <w:r w:rsidR="008A72A1">
        <w:t xml:space="preserve"> </w:t>
      </w:r>
    </w:p>
    <w:p w14:paraId="6EE5662B" w14:textId="67E4A639" w:rsidR="005447EC" w:rsidRDefault="005F5B19" w:rsidP="00456BF1">
      <w:pPr>
        <w:spacing w:line="480" w:lineRule="auto"/>
        <w:ind w:firstLine="720"/>
      </w:pPr>
      <w:r>
        <w:t xml:space="preserve">Ludendorff’s readiness to continue fighting confirmed that nobody in October could conclude that Germany’s desire for an armistice would lead inexorably to peace. Moreover, the initial approach to the United States had come from Germany alone and not from the Central Powers as a whole. </w:t>
      </w:r>
      <w:r w:rsidR="007667B4">
        <w:t xml:space="preserve">The </w:t>
      </w:r>
      <w:r w:rsidR="004146A8">
        <w:t xml:space="preserve">German-led alliance stopped fighting </w:t>
      </w:r>
      <w:r w:rsidR="007667B4">
        <w:t xml:space="preserve">not </w:t>
      </w:r>
      <w:r w:rsidR="003E29ED">
        <w:t xml:space="preserve">with </w:t>
      </w:r>
      <w:r w:rsidR="007667B4">
        <w:t xml:space="preserve">a single instrument of </w:t>
      </w:r>
      <w:r w:rsidR="003E29ED">
        <w:t xml:space="preserve">collective </w:t>
      </w:r>
      <w:r w:rsidR="007667B4">
        <w:t xml:space="preserve">surrender, but </w:t>
      </w:r>
      <w:r w:rsidR="003E29ED">
        <w:t xml:space="preserve">with </w:t>
      </w:r>
      <w:r w:rsidR="007667B4">
        <w:t>five</w:t>
      </w:r>
      <w:r w:rsidR="003E29ED">
        <w:t xml:space="preserve"> separate </w:t>
      </w:r>
      <w:r w:rsidR="007667B4">
        <w:t xml:space="preserve">armistice agreements, </w:t>
      </w:r>
      <w:r w:rsidR="003E29ED">
        <w:t>of which that with Germany on 11 November 1918 was only the most important. E</w:t>
      </w:r>
      <w:r w:rsidR="007667B4">
        <w:t>ach constitut</w:t>
      </w:r>
      <w:r w:rsidR="003E29ED">
        <w:t>ed</w:t>
      </w:r>
      <w:r w:rsidR="007667B4">
        <w:t xml:space="preserve"> part of a continuum which maintained the pressure on what Ludendorff called the ‘quadruple alliance’ and each formed a step leading to the next. On 30 September Bulgaria agreed terms in Belgrade</w:t>
      </w:r>
      <w:r w:rsidR="0093426F">
        <w:t>;</w:t>
      </w:r>
      <w:r w:rsidR="007667B4">
        <w:t xml:space="preserve"> on 29 October the Ottomans followed suit at Mudros</w:t>
      </w:r>
      <w:r w:rsidR="0093426F">
        <w:t>;</w:t>
      </w:r>
      <w:r w:rsidR="007667B4">
        <w:t xml:space="preserve"> on 4 November the Austrians surrendered to the Italians at Villa Giusti</w:t>
      </w:r>
      <w:r w:rsidR="0093426F">
        <w:t>;</w:t>
      </w:r>
      <w:r w:rsidR="007667B4">
        <w:t xml:space="preserve"> and </w:t>
      </w:r>
      <w:r w:rsidR="005927D7">
        <w:t xml:space="preserve">on 13 November – after the Germans  -  </w:t>
      </w:r>
      <w:r w:rsidR="007667B4">
        <w:t xml:space="preserve">the Hungarians did so last of all. Now it was the Entente </w:t>
      </w:r>
      <w:r w:rsidR="005927D7">
        <w:t>that</w:t>
      </w:r>
      <w:r w:rsidR="007667B4">
        <w:t xml:space="preserve"> was using separate negotiations to pursue the objective of overall victory.  </w:t>
      </w:r>
      <w:r w:rsidR="003E29ED">
        <w:t>The war ended i</w:t>
      </w:r>
      <w:r w:rsidR="007667B4">
        <w:t xml:space="preserve">n October </w:t>
      </w:r>
      <w:r w:rsidR="003E29ED">
        <w:t xml:space="preserve">and November </w:t>
      </w:r>
      <w:r w:rsidR="007667B4">
        <w:t xml:space="preserve">1918 </w:t>
      </w:r>
      <w:r w:rsidR="003E29ED">
        <w:t xml:space="preserve">in large part because </w:t>
      </w:r>
      <w:r w:rsidR="007667B4">
        <w:t xml:space="preserve">the alliance of the Central Powers </w:t>
      </w:r>
      <w:r w:rsidR="003E29ED">
        <w:t>imploded</w:t>
      </w:r>
      <w:r w:rsidR="007667B4">
        <w:t>.</w:t>
      </w:r>
    </w:p>
    <w:p w14:paraId="795DDAF7" w14:textId="07FC9022" w:rsidR="00F168D5" w:rsidRDefault="00F168D5" w:rsidP="00456BF1">
      <w:pPr>
        <w:spacing w:line="480" w:lineRule="auto"/>
        <w:ind w:firstLine="720"/>
      </w:pPr>
      <w:r>
        <w:t xml:space="preserve">On three fronts decisive battlefield success led directly to negotiations: the breakthrough in the Balkans and the surrender of Bulgaria; the Italian victory at Vittorio Veneto and </w:t>
      </w:r>
      <w:r w:rsidR="00FF04AA">
        <w:t xml:space="preserve">the collapse of the Habsburg empire; and </w:t>
      </w:r>
      <w:r w:rsidR="008804FD">
        <w:t xml:space="preserve">the </w:t>
      </w:r>
      <w:r w:rsidR="00FF04AA">
        <w:t xml:space="preserve">captures of Damascus and Mosul and the defeat of the Ottomans. The terms of each of the armistices negotiated in the wake of these allied victories were designed to weaken the other Central Powers and ultimately to encircle and isolate Germany. They were instruments to continue the war by other means. </w:t>
      </w:r>
      <w:r w:rsidR="008804FD">
        <w:t>They required t</w:t>
      </w:r>
      <w:r w:rsidR="00FF04AA">
        <w:t xml:space="preserve">he defeated powers </w:t>
      </w:r>
      <w:r w:rsidR="008804FD">
        <w:t xml:space="preserve">to </w:t>
      </w:r>
      <w:r w:rsidR="00FF04AA">
        <w:t>surrender military equipment and railway rolling stock</w:t>
      </w:r>
      <w:r w:rsidR="008804FD">
        <w:t xml:space="preserve">, </w:t>
      </w:r>
      <w:r w:rsidR="009373D7">
        <w:t>so</w:t>
      </w:r>
      <w:r w:rsidR="008804FD">
        <w:t xml:space="preserve"> </w:t>
      </w:r>
      <w:r w:rsidR="00FF04AA">
        <w:t>disabl</w:t>
      </w:r>
      <w:r w:rsidR="008804FD">
        <w:t>ing</w:t>
      </w:r>
      <w:r w:rsidR="00FF04AA">
        <w:t xml:space="preserve"> their own forces and re-equip</w:t>
      </w:r>
      <w:r w:rsidR="008804FD">
        <w:t>ping</w:t>
      </w:r>
      <w:r w:rsidR="00FF04AA">
        <w:t xml:space="preserve"> those of the allies.  Above all, the terms sought to enable the continuation of the allies’ advance and to create opportunities for strategic manoeuvre</w:t>
      </w:r>
      <w:r w:rsidR="00FE35F0">
        <w:t>:</w:t>
      </w:r>
      <w:r w:rsidR="00FF04AA">
        <w:t xml:space="preserve"> from the Balkans to Belgrade, and thence to Vienna and Berlin</w:t>
      </w:r>
      <w:r w:rsidR="00FE35F0">
        <w:t xml:space="preserve">; from the Dardanelles to the Black Sea and on to southern Russia; and from northern Italy into Bavaria and </w:t>
      </w:r>
      <w:r w:rsidR="009373D7">
        <w:t>then</w:t>
      </w:r>
      <w:r w:rsidR="00FE35F0">
        <w:t xml:space="preserve"> Germany itself.</w:t>
      </w:r>
    </w:p>
    <w:p w14:paraId="587CD183" w14:textId="4A66B66C" w:rsidR="0098450E" w:rsidRDefault="00FE35F0" w:rsidP="00456BF1">
      <w:pPr>
        <w:spacing w:line="480" w:lineRule="auto"/>
        <w:ind w:firstLine="720"/>
      </w:pPr>
      <w:r>
        <w:t xml:space="preserve">However, the armistices were not the conclusion of the war, because the making of peace was reserved for the statesmen in Paris. Peace was seen not as a product of strategy, not as the continuation of war by other means, but as the work of diplomacy. From December 1918 onwards, the generals repeatedly sought to impress on the politicians that the war was still not over. Technically, they were right, and they had plenty of evidence to support them. Each armistice was </w:t>
      </w:r>
      <w:r w:rsidR="00D0036A">
        <w:t xml:space="preserve">valid for a set </w:t>
      </w:r>
      <w:r>
        <w:t xml:space="preserve">period and had to be renewed at its conclusion </w:t>
      </w:r>
      <w:r w:rsidR="00D0036A">
        <w:t xml:space="preserve">until the peace treaty was signed </w:t>
      </w:r>
      <w:r>
        <w:t xml:space="preserve">or the war would resume.  At sea, the blockade continued. The food situation across central and eastern Europe in the winter of 1918-19 was dire. The Germans protested that, although soldiers were no longer being killed by the allies, women and children were.  </w:t>
      </w:r>
      <w:r w:rsidR="0093426F">
        <w:t xml:space="preserve">Despite sympathy in the United States for the Germans’ complaint, the British held their ground.  The continuation – and indeed intensification - of economic warfare was a blunt instrument used to ensure that the Germans converted their armistice into a peace treaty. The former was regularly renewed while the negotiations continued. </w:t>
      </w:r>
      <w:r w:rsidR="005B554D">
        <w:t xml:space="preserve">On 21 June 1919 Admiral Ludwig von Reuter </w:t>
      </w:r>
      <w:r w:rsidR="0093426F">
        <w:t xml:space="preserve">broke </w:t>
      </w:r>
      <w:r w:rsidR="00BC43E2">
        <w:t xml:space="preserve">the armistice when he </w:t>
      </w:r>
      <w:r w:rsidR="005B554D">
        <w:t>gave the order to scuttle the German High Seas Fleet in</w:t>
      </w:r>
      <w:r w:rsidR="00BC43E2">
        <w:t xml:space="preserve">terned at </w:t>
      </w:r>
      <w:r w:rsidR="005B554D">
        <w:t xml:space="preserve">Scapa Flow. The ships had been surrendered to the British under the naval terms agreed on 11 November 1918 </w:t>
      </w:r>
      <w:r w:rsidR="0025268C">
        <w:t>but their ultimate fate was dependent on the peace negotiations. T</w:t>
      </w:r>
      <w:r w:rsidR="005B554D">
        <w:t>he</w:t>
      </w:r>
      <w:r w:rsidR="00BC43E2">
        <w:t xml:space="preserve"> latest extension of the </w:t>
      </w:r>
      <w:r w:rsidR="005B554D">
        <w:t>armistice</w:t>
      </w:r>
      <w:r w:rsidR="00BC43E2">
        <w:t xml:space="preserve">, </w:t>
      </w:r>
      <w:r w:rsidR="005B554D">
        <w:t>until 23 June</w:t>
      </w:r>
      <w:r w:rsidR="00BC43E2">
        <w:t>, was designed to allow</w:t>
      </w:r>
      <w:r w:rsidR="005B554D">
        <w:t xml:space="preserve"> the Germans time to respond to the </w:t>
      </w:r>
      <w:r w:rsidR="00A77187">
        <w:t xml:space="preserve">finalised </w:t>
      </w:r>
      <w:r w:rsidR="005B554D">
        <w:t xml:space="preserve">draft </w:t>
      </w:r>
      <w:r w:rsidR="00A77187">
        <w:t xml:space="preserve">of the </w:t>
      </w:r>
      <w:r w:rsidR="005B554D">
        <w:t xml:space="preserve">peace treaty.  </w:t>
      </w:r>
      <w:r w:rsidR="00BC43E2">
        <w:t>R</w:t>
      </w:r>
      <w:r w:rsidR="005B554D">
        <w:t xml:space="preserve">euter </w:t>
      </w:r>
      <w:r w:rsidR="00BC43E2">
        <w:t>pleaded that he did not know o</w:t>
      </w:r>
      <w:r w:rsidR="00D0036A">
        <w:t>f the</w:t>
      </w:r>
      <w:r w:rsidR="00BC43E2">
        <w:t xml:space="preserve"> renewal</w:t>
      </w:r>
      <w:r w:rsidR="00A77187">
        <w:t xml:space="preserve">, </w:t>
      </w:r>
      <w:r w:rsidR="009373D7">
        <w:t xml:space="preserve">although </w:t>
      </w:r>
      <w:r w:rsidR="00D0036A">
        <w:t xml:space="preserve">he probably did. He </w:t>
      </w:r>
      <w:r w:rsidR="005B554D">
        <w:t xml:space="preserve">took the decision to scuttle the fleet </w:t>
      </w:r>
      <w:r w:rsidR="00D0036A">
        <w:t xml:space="preserve">either </w:t>
      </w:r>
      <w:r w:rsidR="005B554D">
        <w:t>because he expected Germany to reject the treaty and to re</w:t>
      </w:r>
      <w:r w:rsidR="007C5E97">
        <w:t>sume fighting</w:t>
      </w:r>
      <w:r w:rsidR="00D0036A">
        <w:t xml:space="preserve">, in which case he did not want the Royal Navy to use German ships against Germany, or </w:t>
      </w:r>
      <w:r w:rsidR="0025268C">
        <w:t xml:space="preserve">because he was determined </w:t>
      </w:r>
      <w:r w:rsidR="00D0036A">
        <w:t xml:space="preserve">to salve the </w:t>
      </w:r>
      <w:r w:rsidR="0025268C">
        <w:t xml:space="preserve">German navy’s </w:t>
      </w:r>
      <w:r w:rsidR="00D0036A">
        <w:t>honour</w:t>
      </w:r>
      <w:r w:rsidR="00BC43E2">
        <w:t xml:space="preserve"> before its final capitulation</w:t>
      </w:r>
      <w:r w:rsidR="00D0036A">
        <w:t xml:space="preserve">. </w:t>
      </w:r>
      <w:r w:rsidR="0098450E">
        <w:t xml:space="preserve">The head of the Admiralty in Germany, Adolf von </w:t>
      </w:r>
      <w:proofErr w:type="spellStart"/>
      <w:r w:rsidR="0098450E">
        <w:t>Trotha</w:t>
      </w:r>
      <w:proofErr w:type="spellEnd"/>
      <w:r w:rsidR="0098450E">
        <w:t>, had told Reuter that there was no question of the German ships being surrendered to the enemy. O</w:t>
      </w:r>
      <w:r w:rsidR="00D0036A">
        <w:t>n 3 July 1919</w:t>
      </w:r>
      <w:r w:rsidR="0098450E">
        <w:t xml:space="preserve"> </w:t>
      </w:r>
      <w:proofErr w:type="spellStart"/>
      <w:r w:rsidR="0025268C">
        <w:t>Trotha</w:t>
      </w:r>
      <w:proofErr w:type="spellEnd"/>
      <w:r w:rsidR="0025268C">
        <w:t xml:space="preserve"> i</w:t>
      </w:r>
      <w:r w:rsidR="0098450E">
        <w:t>ssued an order to the navy welcoming ‘the manly act of our crews at Scapa Flow’ and hailing it as the final victory of an undefeated fleet.</w:t>
      </w:r>
      <w:r w:rsidR="0098450E">
        <w:rPr>
          <w:rStyle w:val="FootnoteReference"/>
        </w:rPr>
        <w:footnoteReference w:id="27"/>
      </w:r>
      <w:r w:rsidR="0098450E">
        <w:t xml:space="preserve"> </w:t>
      </w:r>
    </w:p>
    <w:p w14:paraId="7B90F5B8" w14:textId="1B15F154" w:rsidR="00474B43" w:rsidRDefault="0098450E" w:rsidP="00456BF1">
      <w:pPr>
        <w:spacing w:line="480" w:lineRule="auto"/>
        <w:ind w:firstLine="720"/>
      </w:pPr>
      <w:r>
        <w:t xml:space="preserve">Many </w:t>
      </w:r>
      <w:r w:rsidR="005B554D">
        <w:t>in Britain were</w:t>
      </w:r>
      <w:r w:rsidR="00BC43E2">
        <w:t xml:space="preserve"> genuinely </w:t>
      </w:r>
      <w:r w:rsidR="005B554D">
        <w:t xml:space="preserve">fearful that Germany would opt to fight on. </w:t>
      </w:r>
      <w:r w:rsidR="0025268C">
        <w:t>M</w:t>
      </w:r>
      <w:r>
        <w:t xml:space="preserve">uch to the allies’ relief, </w:t>
      </w:r>
      <w:r w:rsidR="0025268C">
        <w:t>it did not</w:t>
      </w:r>
      <w:r w:rsidR="00474B43">
        <w:t>,</w:t>
      </w:r>
      <w:r w:rsidR="0025268C">
        <w:t xml:space="preserve"> and it </w:t>
      </w:r>
      <w:r w:rsidR="005B554D">
        <w:t>s</w:t>
      </w:r>
      <w:r w:rsidR="007C5E97">
        <w:t>ign</w:t>
      </w:r>
      <w:r>
        <w:t>ed</w:t>
      </w:r>
      <w:r w:rsidR="007C5E97">
        <w:t xml:space="preserve"> the treaty </w:t>
      </w:r>
      <w:r>
        <w:t xml:space="preserve">of Versailles on 28 </w:t>
      </w:r>
      <w:r w:rsidR="007C5E97">
        <w:t>June 1919</w:t>
      </w:r>
      <w:r w:rsidR="0025268C">
        <w:t xml:space="preserve">. </w:t>
      </w:r>
      <w:r w:rsidR="00BC43E2">
        <w:t xml:space="preserve">However, even now </w:t>
      </w:r>
      <w:r w:rsidR="0025268C">
        <w:t xml:space="preserve">the war </w:t>
      </w:r>
      <w:r w:rsidR="00474B43">
        <w:t xml:space="preserve">was </w:t>
      </w:r>
      <w:r w:rsidR="0025268C">
        <w:t>not over. T</w:t>
      </w:r>
      <w:r w:rsidR="007C5E97">
        <w:t xml:space="preserve">he final peace treaty was agreed </w:t>
      </w:r>
      <w:r w:rsidR="00BC43E2">
        <w:t xml:space="preserve">on 24 July </w:t>
      </w:r>
      <w:r w:rsidR="007C5E97">
        <w:t xml:space="preserve">1923, </w:t>
      </w:r>
      <w:r w:rsidR="00BC43E2">
        <w:t xml:space="preserve">and </w:t>
      </w:r>
      <w:r w:rsidR="009373D7">
        <w:t xml:space="preserve">in Lausanne, </w:t>
      </w:r>
      <w:r w:rsidR="00BC43E2">
        <w:t>not in Paris</w:t>
      </w:r>
      <w:r w:rsidR="007C5E97">
        <w:t xml:space="preserve">. </w:t>
      </w:r>
      <w:r w:rsidR="0025268C">
        <w:t>The new Turkish republic overthrew the treat</w:t>
      </w:r>
      <w:r w:rsidR="00474B43">
        <w:t>y</w:t>
      </w:r>
      <w:r w:rsidR="0025268C">
        <w:t xml:space="preserve"> of </w:t>
      </w:r>
      <w:proofErr w:type="spellStart"/>
      <w:r w:rsidR="0025268C">
        <w:t>Sèvres</w:t>
      </w:r>
      <w:proofErr w:type="spellEnd"/>
      <w:r w:rsidR="0025268C">
        <w:t xml:space="preserve">, </w:t>
      </w:r>
      <w:r w:rsidR="00B301F1">
        <w:t>which had been signed by</w:t>
      </w:r>
      <w:r w:rsidR="0025268C">
        <w:t xml:space="preserve"> the Sultanate on </w:t>
      </w:r>
      <w:r w:rsidR="00474B43">
        <w:t>10 August 1920, and fought a war of independence which drove both the Greeks and Italians out of Anatolia, and humiliated the British and French</w:t>
      </w:r>
      <w:r w:rsidR="00BC43E2">
        <w:t xml:space="preserve"> further north </w:t>
      </w:r>
      <w:r w:rsidR="00A77187">
        <w:t xml:space="preserve">at </w:t>
      </w:r>
      <w:proofErr w:type="spellStart"/>
      <w:r w:rsidR="00A77187">
        <w:t>Çannakale</w:t>
      </w:r>
      <w:proofErr w:type="spellEnd"/>
      <w:r w:rsidR="00474B43">
        <w:t xml:space="preserve">.  The fighting continued not just because of the lapse of time between the armistices and the finalisation of the peace treaties, but also because other wars were being fought in the aftermath of the main event. Robert </w:t>
      </w:r>
      <w:proofErr w:type="spellStart"/>
      <w:r w:rsidR="00474B43">
        <w:t>Gerwarth</w:t>
      </w:r>
      <w:proofErr w:type="spellEnd"/>
      <w:r w:rsidR="00474B43">
        <w:t xml:space="preserve"> has suggested that possibly four million more lives were lost between 1919 and 1923 in addition to the </w:t>
      </w:r>
      <w:r w:rsidR="00BC43E2">
        <w:t xml:space="preserve">roughly </w:t>
      </w:r>
      <w:r w:rsidR="00474B43">
        <w:t xml:space="preserve">nine million military dead of the First World War </w:t>
      </w:r>
      <w:r w:rsidR="00B301F1">
        <w:t>proper</w:t>
      </w:r>
      <w:r w:rsidR="00474B43">
        <w:t>.</w:t>
      </w:r>
      <w:r w:rsidR="00474B43">
        <w:rPr>
          <w:rStyle w:val="FootnoteReference"/>
        </w:rPr>
        <w:footnoteReference w:id="28"/>
      </w:r>
      <w:r w:rsidR="00EC0571">
        <w:t xml:space="preserve"> T</w:t>
      </w:r>
      <w:r w:rsidR="00474B43">
        <w:t>hese ‘wars after the war’ can be classified in f</w:t>
      </w:r>
      <w:r w:rsidR="00A04E19">
        <w:t>our</w:t>
      </w:r>
      <w:r w:rsidR="00474B43">
        <w:t xml:space="preserve"> different ways, of which the </w:t>
      </w:r>
      <w:r w:rsidR="00A04E19">
        <w:t xml:space="preserve">third and fourth </w:t>
      </w:r>
      <w:r w:rsidR="00474B43">
        <w:t xml:space="preserve">were the most significant. </w:t>
      </w:r>
    </w:p>
    <w:p w14:paraId="2F29914F" w14:textId="13ACCB3C" w:rsidR="00CA5CDA" w:rsidRDefault="00EC0571" w:rsidP="00456BF1">
      <w:pPr>
        <w:spacing w:line="480" w:lineRule="auto"/>
        <w:ind w:firstLine="720"/>
      </w:pPr>
      <w:r>
        <w:t xml:space="preserve">The first were wars which had been ongoing before 1914, which never went away between 1914 and 1918, and which were revivified afterwards. Italy’s invasion of Libya in 1911 had not resulted in </w:t>
      </w:r>
      <w:r w:rsidR="00922219">
        <w:t>complete conquest by 1912, even if the Ottomans a</w:t>
      </w:r>
      <w:r w:rsidR="00A04E19">
        <w:t>greed</w:t>
      </w:r>
      <w:r w:rsidR="00922219">
        <w:t xml:space="preserve"> terms. Resistance</w:t>
      </w:r>
      <w:r w:rsidR="0025004F">
        <w:t xml:space="preserve">, supported by the Turks, </w:t>
      </w:r>
      <w:r w:rsidR="00922219">
        <w:t xml:space="preserve">revived when Italy entered the European war in 1915 and it continued until </w:t>
      </w:r>
      <w:r w:rsidR="00B93FF8">
        <w:t xml:space="preserve">the </w:t>
      </w:r>
      <w:r w:rsidR="00922219">
        <w:t>19</w:t>
      </w:r>
      <w:r w:rsidR="00B93FF8">
        <w:t xml:space="preserve">30s. Greece’s wars with the Ottomans in the Balkans in 1912-13 </w:t>
      </w:r>
      <w:r w:rsidR="0025004F">
        <w:t xml:space="preserve">fed the ambition of </w:t>
      </w:r>
      <w:proofErr w:type="spellStart"/>
      <w:r w:rsidR="0025004F">
        <w:t>Ele</w:t>
      </w:r>
      <w:r w:rsidR="003E556C">
        <w:t>f</w:t>
      </w:r>
      <w:r w:rsidR="0025004F">
        <w:t>therios</w:t>
      </w:r>
      <w:proofErr w:type="spellEnd"/>
      <w:r w:rsidR="0025004F">
        <w:t xml:space="preserve"> Venizelos for a greater Greece built on the legacy of Greek colonisation two millennia earlier. Lloyd George pandered to these </w:t>
      </w:r>
      <w:r w:rsidR="00E65435">
        <w:t xml:space="preserve">designs </w:t>
      </w:r>
      <w:r w:rsidR="0025004F">
        <w:t xml:space="preserve">and they encouraged Winston Churchill in </w:t>
      </w:r>
      <w:r w:rsidR="00E65435">
        <w:t xml:space="preserve">his hope </w:t>
      </w:r>
      <w:r w:rsidR="00B301F1">
        <w:t xml:space="preserve">in late 1914 </w:t>
      </w:r>
      <w:r w:rsidR="00E65435">
        <w:t xml:space="preserve">that the Greeks might contribute the land component </w:t>
      </w:r>
      <w:r w:rsidR="00A04E19">
        <w:t>to</w:t>
      </w:r>
      <w:r w:rsidR="00E65435">
        <w:t xml:space="preserve"> </w:t>
      </w:r>
      <w:r w:rsidR="0025004F">
        <w:t>the Gallipoli campaign. The Greeks did not commit themselves in 1915 but</w:t>
      </w:r>
      <w:r w:rsidR="00B301F1">
        <w:t xml:space="preserve">, after considerable allied pressure, including blockade and intervention, they did so </w:t>
      </w:r>
      <w:r w:rsidR="0025004F">
        <w:t>in</w:t>
      </w:r>
      <w:r w:rsidR="00E65435">
        <w:t xml:space="preserve"> the summer of </w:t>
      </w:r>
      <w:r w:rsidR="0025004F">
        <w:t>1917</w:t>
      </w:r>
      <w:r w:rsidR="00B301F1">
        <w:t>.  V</w:t>
      </w:r>
      <w:r w:rsidR="00B93FF8">
        <w:t xml:space="preserve">enizelos </w:t>
      </w:r>
      <w:r w:rsidR="0025004F">
        <w:t xml:space="preserve">formed a national government and </w:t>
      </w:r>
      <w:r w:rsidR="00B93FF8">
        <w:t>declared war on the Central Powers</w:t>
      </w:r>
      <w:r w:rsidR="0025004F">
        <w:t xml:space="preserve">. The immediate efforts of the Greek army were bent </w:t>
      </w:r>
      <w:r w:rsidR="00E65435">
        <w:t>on</w:t>
      </w:r>
      <w:r w:rsidR="0025004F">
        <w:t xml:space="preserve"> achieving full control of Ottoman </w:t>
      </w:r>
      <w:r w:rsidR="00B301F1">
        <w:t xml:space="preserve">territory </w:t>
      </w:r>
      <w:r w:rsidR="00301F4B">
        <w:t xml:space="preserve">in the Balkans but in May 1919 they extended to Asia Minor.  </w:t>
      </w:r>
      <w:r w:rsidR="00E65435">
        <w:t xml:space="preserve">Greek </w:t>
      </w:r>
      <w:r w:rsidR="00301F4B">
        <w:t xml:space="preserve">troops </w:t>
      </w:r>
      <w:r w:rsidR="0025004F">
        <w:t>landed at Izmir in May 1919</w:t>
      </w:r>
      <w:r w:rsidR="00E65435">
        <w:t xml:space="preserve">, partly to pre-empt the Italians who had also resumed their pre-1914 war with the Turks, </w:t>
      </w:r>
      <w:r w:rsidR="0025004F">
        <w:t xml:space="preserve">and </w:t>
      </w:r>
      <w:r w:rsidR="00A04E19">
        <w:t xml:space="preserve">then a year later </w:t>
      </w:r>
      <w:r w:rsidR="00B301F1">
        <w:t xml:space="preserve">they </w:t>
      </w:r>
      <w:r w:rsidR="00A04E19">
        <w:t>p</w:t>
      </w:r>
      <w:r w:rsidR="0025004F">
        <w:t>lunged</w:t>
      </w:r>
      <w:r w:rsidR="00E65435">
        <w:t xml:space="preserve"> deeper</w:t>
      </w:r>
      <w:r w:rsidR="0025004F">
        <w:t xml:space="preserve"> into Anatolia. </w:t>
      </w:r>
      <w:r w:rsidR="00301F4B">
        <w:t xml:space="preserve"> </w:t>
      </w:r>
      <w:r w:rsidR="00E65435">
        <w:t xml:space="preserve">In a campaign characterised on both sides by what would now be called ethnic cleansing, the Turkish nationalists under Mustafa Kemal </w:t>
      </w:r>
      <w:r w:rsidR="00B301F1">
        <w:t>pushed</w:t>
      </w:r>
      <w:r w:rsidR="00E65435">
        <w:t xml:space="preserve"> the Greeks back to Izmir and sacked the city in September 1922.</w:t>
      </w:r>
      <w:r w:rsidR="00CA5CDA">
        <w:t xml:space="preserve"> Just under a million Greeks were driven from their homes in </w:t>
      </w:r>
      <w:r w:rsidR="0018193B">
        <w:t xml:space="preserve">western </w:t>
      </w:r>
      <w:r w:rsidR="00CA5CDA">
        <w:t xml:space="preserve">Asia and about 400,000 Turks from theirs in </w:t>
      </w:r>
      <w:r w:rsidR="0018193B">
        <w:t xml:space="preserve">south-eastern </w:t>
      </w:r>
      <w:r w:rsidR="00CA5CDA">
        <w:t>Europe.</w:t>
      </w:r>
    </w:p>
    <w:p w14:paraId="46B136FD" w14:textId="0B976B58" w:rsidR="0059229C" w:rsidRDefault="00CA5CDA" w:rsidP="00456BF1">
      <w:pPr>
        <w:spacing w:line="480" w:lineRule="auto"/>
        <w:ind w:firstLine="720"/>
      </w:pPr>
      <w:r>
        <w:t>The second group of wars which continued after 1918 were th</w:t>
      </w:r>
      <w:r w:rsidR="00B301F1">
        <w:t xml:space="preserve">e more local conflicts </w:t>
      </w:r>
      <w:r>
        <w:t>which had piggy-backed on the opportunities created by the outbreak of the greater war in August 1914. The states which entered the war after the initial paroxysm at the end of July had time to weigh their options and think through their aims.  They negotiated the terms on which they fought with those to whom they allied themselves</w:t>
      </w:r>
      <w:r w:rsidR="0059229C">
        <w:t>,</w:t>
      </w:r>
      <w:r>
        <w:t xml:space="preserve"> as much as, if not more than, they were impelled by hostility towards those whom they fought. </w:t>
      </w:r>
      <w:r w:rsidR="006930C3">
        <w:t xml:space="preserve">If they </w:t>
      </w:r>
      <w:r w:rsidR="0059229C">
        <w:t xml:space="preserve">had </w:t>
      </w:r>
      <w:r w:rsidR="006930C3">
        <w:t>chose</w:t>
      </w:r>
      <w:r w:rsidR="0059229C">
        <w:t>n</w:t>
      </w:r>
      <w:r w:rsidR="006930C3">
        <w:t xml:space="preserve"> wisely and ended up on the winning side, they expected to see their territorial demands satisfied. </w:t>
      </w:r>
      <w:r>
        <w:t xml:space="preserve">Japan was the first to </w:t>
      </w:r>
      <w:r w:rsidR="000F4287">
        <w:t>fight on these terms</w:t>
      </w:r>
      <w:r>
        <w:t xml:space="preserve">, declaring war </w:t>
      </w:r>
      <w:r w:rsidR="006930C3">
        <w:t xml:space="preserve">on Germany on 23 August 1914.  Britain wanted no more than </w:t>
      </w:r>
      <w:r w:rsidR="0059229C">
        <w:t xml:space="preserve">short-term </w:t>
      </w:r>
      <w:r w:rsidR="006930C3">
        <w:t>naval support against the German East Asiatic squadron in the Pacific, but Japan had imperial designs on China.  On 18 January 1915 Japan</w:t>
      </w:r>
      <w:r w:rsidR="000F4287">
        <w:t>’s</w:t>
      </w:r>
      <w:r w:rsidR="006930C3">
        <w:t xml:space="preserve"> ambassador in Beijing presented the Chinese with twenty-one demands designed to extend its territorial and economic footprint </w:t>
      </w:r>
      <w:r w:rsidR="0059229C">
        <w:t>on the Asian mainland.  Japan stayed in the war principally in order to consolidate these gains in the peace negotiations, while China entered the war in 1917 to forestall that intention.  This was the struggle, albeit between two powers on the same side during the First World War, which would trigger the Second World War as a global conflict in 1937.</w:t>
      </w:r>
    </w:p>
    <w:p w14:paraId="11C1865A" w14:textId="515F8053" w:rsidR="000F4287" w:rsidRDefault="0059229C" w:rsidP="00456BF1">
      <w:pPr>
        <w:spacing w:line="480" w:lineRule="auto"/>
        <w:ind w:firstLine="720"/>
      </w:pPr>
      <w:r>
        <w:t>In May 1915 Italy, formally speaking the ally of Germany and Austria-Hungary, committed itself to the Entente cause.  It did so because its territorial ambitions on its north-eastern frontier could only be fulfilled at the expense of Austria-Hungary</w:t>
      </w:r>
      <w:r w:rsidR="001A6521">
        <w:t>.  When the war on the Italian front ended at Vittorio Veneto</w:t>
      </w:r>
      <w:r w:rsidR="000F4287">
        <w:t xml:space="preserve"> in October 1918</w:t>
      </w:r>
      <w:r w:rsidR="001A6521">
        <w:t xml:space="preserve">, Italy’s troops were still fighting within its 1915 frontiers and had reached none of its original objectives. For Italian nationalists the First World War was fought to complete the Risorgimento and the collapse of the Habsburg empire provided not a reason to halt but the opportunity to press on into Dalmatia.  Nor were they alone.  Romania had been rapidly overrun by the Central Powers </w:t>
      </w:r>
      <w:r w:rsidR="00EC587C">
        <w:t>after</w:t>
      </w:r>
      <w:r w:rsidR="001A6521">
        <w:t xml:space="preserve"> it had entered the war </w:t>
      </w:r>
      <w:r w:rsidR="00B301F1">
        <w:t xml:space="preserve">on the Entente side </w:t>
      </w:r>
      <w:r w:rsidR="001A6521">
        <w:t xml:space="preserve">in 1916 and, </w:t>
      </w:r>
      <w:r w:rsidR="00B301F1">
        <w:t>after</w:t>
      </w:r>
      <w:r w:rsidR="001A6521">
        <w:t xml:space="preserve"> the Russians agreed terms at Brest-Litovsk in March 1918</w:t>
      </w:r>
      <w:r w:rsidR="00124A2F">
        <w:t xml:space="preserve">, </w:t>
      </w:r>
      <w:r w:rsidR="00EC587C">
        <w:t xml:space="preserve">it </w:t>
      </w:r>
      <w:r w:rsidR="00124A2F">
        <w:t xml:space="preserve">had </w:t>
      </w:r>
      <w:r w:rsidR="00B301F1">
        <w:t xml:space="preserve">accepted </w:t>
      </w:r>
      <w:r w:rsidR="009373D7">
        <w:t xml:space="preserve">similarly </w:t>
      </w:r>
      <w:r w:rsidR="00B301F1">
        <w:t xml:space="preserve">humiliating </w:t>
      </w:r>
      <w:r w:rsidR="009373D7">
        <w:t xml:space="preserve">conditions </w:t>
      </w:r>
      <w:r w:rsidR="00124A2F">
        <w:t>at B</w:t>
      </w:r>
      <w:r w:rsidR="00B301F1">
        <w:t xml:space="preserve">ucharest </w:t>
      </w:r>
      <w:r w:rsidR="00124A2F">
        <w:t xml:space="preserve">in May.  </w:t>
      </w:r>
      <w:r w:rsidR="00B301F1">
        <w:t xml:space="preserve">After the allies’ breakthrough on the Macedonian front in September, </w:t>
      </w:r>
      <w:r w:rsidR="00954EA2">
        <w:t xml:space="preserve">their commander, </w:t>
      </w:r>
      <w:proofErr w:type="spellStart"/>
      <w:r w:rsidR="00954EA2">
        <w:t>Franchet</w:t>
      </w:r>
      <w:proofErr w:type="spellEnd"/>
      <w:r w:rsidR="00954EA2">
        <w:t xml:space="preserve"> </w:t>
      </w:r>
      <w:proofErr w:type="spellStart"/>
      <w:r w:rsidR="00954EA2">
        <w:t>d’Esperey</w:t>
      </w:r>
      <w:proofErr w:type="spellEnd"/>
      <w:r w:rsidR="00954EA2">
        <w:t xml:space="preserve">, </w:t>
      </w:r>
      <w:r w:rsidR="004719CE">
        <w:t xml:space="preserve">expected </w:t>
      </w:r>
      <w:r w:rsidR="00954EA2">
        <w:t>Romania</w:t>
      </w:r>
      <w:r w:rsidR="004719CE">
        <w:t xml:space="preserve"> to </w:t>
      </w:r>
      <w:r w:rsidR="00954EA2">
        <w:t>re-ent</w:t>
      </w:r>
      <w:r w:rsidR="004719CE">
        <w:t>er</w:t>
      </w:r>
      <w:r w:rsidR="00954EA2">
        <w:t xml:space="preserve"> the war on the allied side </w:t>
      </w:r>
      <w:r w:rsidR="004719CE">
        <w:t xml:space="preserve">and so </w:t>
      </w:r>
      <w:r w:rsidR="00954EA2">
        <w:t xml:space="preserve">to expedite his advance to the Danube. Romania waited until the last moment, resuming hostilities on </w:t>
      </w:r>
      <w:r w:rsidR="00124A2F">
        <w:t>10 November 1918,</w:t>
      </w:r>
      <w:r w:rsidR="00954EA2">
        <w:t xml:space="preserve"> too late to make any effective military contribution.  Its aim was to achieve </w:t>
      </w:r>
      <w:r w:rsidR="00124A2F">
        <w:t xml:space="preserve">its </w:t>
      </w:r>
      <w:r w:rsidR="00954EA2">
        <w:t xml:space="preserve">territorial </w:t>
      </w:r>
      <w:r w:rsidR="00124A2F">
        <w:t>objectives in Transylvania</w:t>
      </w:r>
      <w:r w:rsidR="00A04E19">
        <w:t xml:space="preserve"> and the Bukovina</w:t>
      </w:r>
      <w:r w:rsidR="00124A2F">
        <w:t xml:space="preserve">, </w:t>
      </w:r>
      <w:r w:rsidR="00954EA2">
        <w:t xml:space="preserve">at the expense respectively of Hungary and Bulgaria, </w:t>
      </w:r>
      <w:r w:rsidR="00124A2F">
        <w:t>in whose pursuit it had originally opted for war in 1916.</w:t>
      </w:r>
      <w:r w:rsidR="001A6521">
        <w:t xml:space="preserve">  </w:t>
      </w:r>
      <w:r w:rsidR="00124A2F">
        <w:t xml:space="preserve">Italy and Romania were, like Greece, each fighting regional wars for national objectives that ran concurrently with the larger war </w:t>
      </w:r>
      <w:r w:rsidR="000F4287">
        <w:t xml:space="preserve">but which </w:t>
      </w:r>
      <w:r w:rsidR="00EC587C">
        <w:t xml:space="preserve">therefore </w:t>
      </w:r>
      <w:r w:rsidR="000F4287">
        <w:t>also had the capacity to continue when that greater conflict ended.</w:t>
      </w:r>
    </w:p>
    <w:p w14:paraId="07DF729A" w14:textId="599378C6" w:rsidR="0015598B" w:rsidRDefault="000F4287" w:rsidP="00456BF1">
      <w:pPr>
        <w:spacing w:line="480" w:lineRule="auto"/>
        <w:ind w:firstLine="720"/>
      </w:pPr>
      <w:r>
        <w:t>More expansive was the third group of wars</w:t>
      </w:r>
      <w:r w:rsidR="00954EA2">
        <w:t xml:space="preserve">.  These </w:t>
      </w:r>
      <w:r>
        <w:t xml:space="preserve">had been provoked by the </w:t>
      </w:r>
      <w:r w:rsidR="00EC587C">
        <w:t xml:space="preserve">employment </w:t>
      </w:r>
      <w:r>
        <w:t>of revolution as</w:t>
      </w:r>
      <w:r w:rsidR="00EC587C">
        <w:t xml:space="preserve"> a </w:t>
      </w:r>
      <w:r>
        <w:t>weapon of war to subvert the enemy.</w:t>
      </w:r>
      <w:r w:rsidR="00EC587C">
        <w:t xml:space="preserve">  Germany had done so in Ireland, North Africa and across Central Asia to India; Britain had </w:t>
      </w:r>
      <w:r w:rsidR="004719CE">
        <w:t xml:space="preserve">done </w:t>
      </w:r>
      <w:r w:rsidR="00EC587C">
        <w:t xml:space="preserve">so in Arabia. In </w:t>
      </w:r>
      <w:r w:rsidR="00A04E19">
        <w:t xml:space="preserve">April </w:t>
      </w:r>
      <w:r w:rsidR="00EC587C">
        <w:t>1917</w:t>
      </w:r>
      <w:r w:rsidR="00954EA2">
        <w:t xml:space="preserve">, after the first Russian revolution of that year, </w:t>
      </w:r>
      <w:r w:rsidR="00EC587C">
        <w:t xml:space="preserve">the Germans had smuggled Lenin into Petrograd from Switzerland in a ‘sealed train’. </w:t>
      </w:r>
      <w:r w:rsidR="00A04E19">
        <w:t xml:space="preserve">Their action accomplished the end they sought when the Bolsheviks seized power in November and Lenin vowed to take Russia out of the war. In the winter of 1917-18 Russia’s erstwhile allies confronted a truly terrible situation in the short term: the Central Powers would be able to concentrate their forces to the west and south, free (or so it seemed) of commitments to the east.  </w:t>
      </w:r>
      <w:r w:rsidR="0015598B">
        <w:t xml:space="preserve">Britain, France and the United States therefore intervened </w:t>
      </w:r>
      <w:r w:rsidR="00954EA2">
        <w:t xml:space="preserve">in </w:t>
      </w:r>
      <w:r w:rsidR="0015598B">
        <w:t>Russia in the first instance not so much to crush the revolution as to re-open the Russian front against the Central Powers. They supported the counter-revolutionary Whites against the Reds for reasons of strategy more than ideology, and that motive persisted until the Germans signed the peace treaty in June 1919.</w:t>
      </w:r>
    </w:p>
    <w:p w14:paraId="0076BD7B" w14:textId="4CB75BA0" w:rsidR="00D86290" w:rsidRDefault="0015598B" w:rsidP="00456BF1">
      <w:pPr>
        <w:spacing w:line="480" w:lineRule="auto"/>
        <w:ind w:firstLine="720"/>
      </w:pPr>
      <w:r>
        <w:t xml:space="preserve">Even in 1918, however, the fear of Bolshevism </w:t>
      </w:r>
      <w:r w:rsidR="004719CE">
        <w:t xml:space="preserve">began </w:t>
      </w:r>
      <w:r>
        <w:t xml:space="preserve">to supplant the hatred of the </w:t>
      </w:r>
      <w:proofErr w:type="spellStart"/>
      <w:r>
        <w:t>Boche</w:t>
      </w:r>
      <w:proofErr w:type="spellEnd"/>
      <w:r>
        <w:t xml:space="preserve">.  The peoples of all the European belligerents, regardless of the side on which they fought, were weary </w:t>
      </w:r>
      <w:proofErr w:type="gramStart"/>
      <w:r>
        <w:t>and  –</w:t>
      </w:r>
      <w:proofErr w:type="gramEnd"/>
      <w:r>
        <w:t xml:space="preserve"> after poor harvests from 1916 onwards – hungry. Russia, unlike Romania, was not represented in Paris, on the grounds that it had ceased to be an interested party after it agreed terms with the Central Powers at Brest Litovsk.  It was </w:t>
      </w:r>
      <w:r w:rsidR="00954EA2">
        <w:t xml:space="preserve">therefore </w:t>
      </w:r>
      <w:r w:rsidR="0046269B">
        <w:t xml:space="preserve">excluded from </w:t>
      </w:r>
      <w:r w:rsidR="00954EA2">
        <w:t xml:space="preserve">the </w:t>
      </w:r>
      <w:r w:rsidR="0046269B">
        <w:t xml:space="preserve">planning for </w:t>
      </w:r>
      <w:r w:rsidR="00954EA2">
        <w:t xml:space="preserve">a new world order and so </w:t>
      </w:r>
      <w:r>
        <w:t>free to pursue its own revisionist objectives</w:t>
      </w:r>
      <w:r w:rsidR="00954EA2">
        <w:t>.  Following Marxist logic and underpinned by hopes of international working</w:t>
      </w:r>
      <w:r w:rsidR="001432D8">
        <w:t>-</w:t>
      </w:r>
      <w:r w:rsidR="00954EA2">
        <w:t xml:space="preserve">class solidarity, it </w:t>
      </w:r>
      <w:r>
        <w:t>sens</w:t>
      </w:r>
      <w:r w:rsidR="00954EA2">
        <w:t>ed</w:t>
      </w:r>
      <w:r>
        <w:t xml:space="preserve"> the opportunity for revolution beyond its frontiers which the war had created. It supported the Reds against the Whites in the states which </w:t>
      </w:r>
      <w:r w:rsidR="00D86290">
        <w:t xml:space="preserve">sought to establish themselves on its western borders – to the north, those which had been under Russian rule, Finland, Latvia and Lithuania, and to the south those governed by Austria-Hungary. As the statesmen met in Paris, they feared that Bolshevism would </w:t>
      </w:r>
      <w:r w:rsidR="001432D8">
        <w:t xml:space="preserve">extend further west, </w:t>
      </w:r>
      <w:r w:rsidR="00D86290">
        <w:t>tak</w:t>
      </w:r>
      <w:r w:rsidR="001432D8">
        <w:t>ing</w:t>
      </w:r>
      <w:r w:rsidR="00D86290">
        <w:t xml:space="preserve"> hold of Austria and Germany too.</w:t>
      </w:r>
    </w:p>
    <w:p w14:paraId="15B63A60" w14:textId="47C5EFC8" w:rsidR="00474B43" w:rsidRDefault="00D86290" w:rsidP="00456BF1">
      <w:pPr>
        <w:spacing w:line="480" w:lineRule="auto"/>
        <w:ind w:firstLine="720"/>
      </w:pPr>
      <w:r>
        <w:t xml:space="preserve">The </w:t>
      </w:r>
      <w:r w:rsidR="001432D8">
        <w:t xml:space="preserve">doors to </w:t>
      </w:r>
      <w:r>
        <w:t xml:space="preserve">both local national expansion and </w:t>
      </w:r>
      <w:r w:rsidR="001432D8">
        <w:t>t</w:t>
      </w:r>
      <w:r>
        <w:t xml:space="preserve">rans-national revolution looked wide open precisely because at the end of 1918 four major and contiguous empires had simultaneously collapsed.  </w:t>
      </w:r>
      <w:r w:rsidR="001432D8">
        <w:t xml:space="preserve">The fall of </w:t>
      </w:r>
      <w:r>
        <w:t xml:space="preserve">Tsarist Russia </w:t>
      </w:r>
      <w:r w:rsidR="001432D8">
        <w:t xml:space="preserve">in 1917 </w:t>
      </w:r>
      <w:r>
        <w:t xml:space="preserve">had been followed </w:t>
      </w:r>
      <w:r w:rsidR="001432D8">
        <w:t xml:space="preserve">by those of </w:t>
      </w:r>
      <w:r w:rsidR="00AB77E0">
        <w:t xml:space="preserve">the </w:t>
      </w:r>
      <w:r>
        <w:t>German, Austr</w:t>
      </w:r>
      <w:r w:rsidR="00AB77E0">
        <w:t>o</w:t>
      </w:r>
      <w:r>
        <w:t>-Hungar</w:t>
      </w:r>
      <w:r w:rsidR="00AB77E0">
        <w:t>ian</w:t>
      </w:r>
      <w:r>
        <w:t xml:space="preserve"> and ultimately Ottoman empires.  Nor would the process necessarily end there: Britain faced challenges along the ‘southern arc’ of its empire from Ireland to India</w:t>
      </w:r>
      <w:r w:rsidR="00AB77E0">
        <w:t xml:space="preserve">, by way of Egypt and Iraq. Woodrow Wilson had poured fuel on the flames of this combustible material when in January 1918 his Fourteen Points had affirmed the principle of national self-determination. That commitment gave </w:t>
      </w:r>
      <w:r w:rsidR="001432D8">
        <w:t xml:space="preserve">immediate </w:t>
      </w:r>
      <w:r w:rsidR="00AB77E0">
        <w:t xml:space="preserve">substance to the hopes of Czechs and Poles, making Britain, France and Italy somewhat reluctant partners in the subversion of the Habsburg empire in 1918, and stoking the hopes </w:t>
      </w:r>
      <w:r w:rsidR="001432D8">
        <w:t xml:space="preserve">for significant gains in the Balkans </w:t>
      </w:r>
      <w:r w:rsidR="00AB77E0">
        <w:t>of allies like the Serbs, Greeks and Romanians</w:t>
      </w:r>
      <w:r w:rsidR="001432D8">
        <w:t>, whose fellow nationals lived under Habsburg or Ottoman rule</w:t>
      </w:r>
      <w:r w:rsidR="00AB77E0">
        <w:t xml:space="preserve">. The result was civil war across central and eastern Europe, from the Baltic to the Balkans, and from Cork to the Caucasus. The divisions were not just political, Reds against Whites, but also ethnic, as Slavs fought Teutons. </w:t>
      </w:r>
      <w:r w:rsidR="0018193B">
        <w:t xml:space="preserve"> While the peacemakers conferred in Paris, wars were being fought across Europe and Asia. While they drew lines on maps, conflict was changing the situation on the ground.</w:t>
      </w:r>
    </w:p>
    <w:p w14:paraId="3760387A" w14:textId="37B48EB0" w:rsidR="00296440" w:rsidRDefault="0018193B" w:rsidP="00456BF1">
      <w:pPr>
        <w:spacing w:line="480" w:lineRule="auto"/>
        <w:ind w:firstLine="720"/>
      </w:pPr>
      <w:r>
        <w:t>On Christmas Eve 1918, the chief of the British imperial general staff, Sir Henry Wilson, attended a meeting of the Imperial War Cabinet. That night he wrote in his diary: ‘They all talked about Peace and the League of Nations, and the whole thing such rubbish that I went away.  Why not face the facts, that there are still wars going on in several countries and that until these are crushed out it is no use talking peace?’</w:t>
      </w:r>
      <w:r>
        <w:rPr>
          <w:rStyle w:val="FootnoteReference"/>
        </w:rPr>
        <w:footnoteReference w:id="29"/>
      </w:r>
      <w:r w:rsidR="00296440">
        <w:t xml:space="preserve">  Throughout 1919 he kept up the refrain that the war was not yet over.  By August he </w:t>
      </w:r>
      <w:r w:rsidR="001432D8">
        <w:t xml:space="preserve">had </w:t>
      </w:r>
      <w:r w:rsidR="00296440">
        <w:t>concluded that Britain faced four ‘storm centres’ – Ireland, Egypt, Mesopotamia and India.</w:t>
      </w:r>
      <w:r w:rsidR="00D9547B">
        <w:rPr>
          <w:rStyle w:val="FootnoteReference"/>
        </w:rPr>
        <w:footnoteReference w:id="30"/>
      </w:r>
      <w:r w:rsidR="00296440">
        <w:t xml:space="preserve"> In addition, the country needed soldiers to keep order at home. He thought the situation more dangerous than it ha</w:t>
      </w:r>
      <w:r w:rsidR="004719CE">
        <w:t>d</w:t>
      </w:r>
      <w:r w:rsidR="00296440">
        <w:t xml:space="preserve"> been in 1914, and by November he was writing to Lord Esher that</w:t>
      </w:r>
      <w:r w:rsidR="001432D8">
        <w:t xml:space="preserve">, although one </w:t>
      </w:r>
      <w:r w:rsidR="00296440">
        <w:t xml:space="preserve">war had ended, </w:t>
      </w:r>
      <w:r w:rsidR="006748B0">
        <w:t xml:space="preserve">‘one year and three days after the Armistice </w:t>
      </w:r>
      <w:r w:rsidR="00296440">
        <w:t>we have between 20 and 30 wars ranging in different parts of the world’.</w:t>
      </w:r>
      <w:r w:rsidR="00D9547B">
        <w:rPr>
          <w:rStyle w:val="FootnoteReference"/>
        </w:rPr>
        <w:footnoteReference w:id="31"/>
      </w:r>
    </w:p>
    <w:p w14:paraId="3849F90A" w14:textId="2DB83AC0" w:rsidR="006748B0" w:rsidRDefault="00D9547B" w:rsidP="00456BF1">
      <w:pPr>
        <w:spacing w:line="480" w:lineRule="auto"/>
        <w:ind w:firstLine="720"/>
      </w:pPr>
      <w:r>
        <w:t xml:space="preserve">Across the Channel, his great friend, Ferdinand Foch, was </w:t>
      </w:r>
      <w:r w:rsidR="001432D8">
        <w:t xml:space="preserve">equally </w:t>
      </w:r>
      <w:r>
        <w:t xml:space="preserve">frustrated.  On 4 December 1918 </w:t>
      </w:r>
      <w:r w:rsidR="004719CE">
        <w:t>Foch</w:t>
      </w:r>
      <w:r>
        <w:t xml:space="preserve"> noted that ‘The war is not ended’.</w:t>
      </w:r>
      <w:r>
        <w:rPr>
          <w:rStyle w:val="FootnoteReference"/>
        </w:rPr>
        <w:footnoteReference w:id="32"/>
      </w:r>
      <w:r>
        <w:t xml:space="preserve">  </w:t>
      </w:r>
      <w:r w:rsidR="004719CE">
        <w:t xml:space="preserve">The two </w:t>
      </w:r>
      <w:r>
        <w:t xml:space="preserve">met regularly to commiserate with each other, Wilson increasingly falling back on the vocabulary of contempt for politicians, calling them ‘frocks’. The relationships between the leading statesmen and their principal military </w:t>
      </w:r>
      <w:r w:rsidR="006748B0">
        <w:t>advisers collapsed with frightening speed from late 1918, but they did so in different ways and at different tempos.</w:t>
      </w:r>
    </w:p>
    <w:p w14:paraId="29B3B1E6" w14:textId="77777777" w:rsidR="00041763" w:rsidRDefault="00041763" w:rsidP="00456BF1">
      <w:pPr>
        <w:spacing w:line="480" w:lineRule="auto"/>
        <w:ind w:firstLine="720"/>
      </w:pPr>
      <w:r>
        <w:t>In both Britain and France the armistices, even if they were not the end of the war, were greeted as such.  In part this was not the fault of either Lloyd George or Clemenceau, but the response of their nations. The public celebrations precipitated specifically by the German armistice on 11 November 1918 continued for some days, and in France were re-echoed in the progressive liberation of towns which had been under German rule  - either since 1914 or, in the case of Alsace-Lorraine, since 1871. This felt like the end of the war, even if it was not.</w:t>
      </w:r>
    </w:p>
    <w:p w14:paraId="0E9E50A8" w14:textId="26EDDC17" w:rsidR="002C0C78" w:rsidRDefault="00041763" w:rsidP="00456BF1">
      <w:pPr>
        <w:spacing w:line="480" w:lineRule="auto"/>
        <w:ind w:firstLine="720"/>
      </w:pPr>
      <w:r>
        <w:t xml:space="preserve">Wives and families expected to </w:t>
      </w:r>
      <w:r w:rsidR="00495D4D">
        <w:t xml:space="preserve">welcome </w:t>
      </w:r>
      <w:r>
        <w:t xml:space="preserve">their </w:t>
      </w:r>
      <w:proofErr w:type="gramStart"/>
      <w:r>
        <w:t>soldiers</w:t>
      </w:r>
      <w:proofErr w:type="gramEnd"/>
      <w:r>
        <w:t xml:space="preserve"> home for Christmas and exercised an immediate pressure for the rapid demobilisation of both the British and French armies.   </w:t>
      </w:r>
      <w:proofErr w:type="spellStart"/>
      <w:r w:rsidR="003E556C">
        <w:t>Eliane</w:t>
      </w:r>
      <w:proofErr w:type="spellEnd"/>
      <w:r w:rsidR="003E556C">
        <w:t xml:space="preserve"> Stern, who was a</w:t>
      </w:r>
      <w:r w:rsidR="00FD6C3E">
        <w:t xml:space="preserve">n eleven </w:t>
      </w:r>
      <w:r w:rsidR="003E556C">
        <w:t xml:space="preserve">-year old French girl living in </w:t>
      </w:r>
      <w:proofErr w:type="spellStart"/>
      <w:r w:rsidR="003E556C">
        <w:t>Pontarlier</w:t>
      </w:r>
      <w:proofErr w:type="spellEnd"/>
      <w:r w:rsidR="003E556C">
        <w:t>, wrote at the end of her journal entry for November, with its excited account of victory and celebration: ‘I am waiting for Papa. He is never here, but I</w:t>
      </w:r>
      <w:r w:rsidR="00DE3443">
        <w:t xml:space="preserve"> now</w:t>
      </w:r>
      <w:r w:rsidR="003E556C">
        <w:t xml:space="preserve"> know </w:t>
      </w:r>
      <w:r w:rsidR="00DE3443">
        <w:t>t</w:t>
      </w:r>
      <w:r w:rsidR="003E556C">
        <w:t xml:space="preserve">hat he will not die </w:t>
      </w:r>
      <w:r w:rsidR="00DE3443">
        <w:t xml:space="preserve">fighting on “the field of honour” as the speeches put it.’  He had gone to war </w:t>
      </w:r>
      <w:r w:rsidR="00FD6C3E">
        <w:t xml:space="preserve">over four years earlier, </w:t>
      </w:r>
      <w:r w:rsidR="00DE3443">
        <w:t>in August 1914</w:t>
      </w:r>
      <w:r w:rsidR="00FD6C3E">
        <w:t xml:space="preserve">, </w:t>
      </w:r>
      <w:r w:rsidR="00DE3443">
        <w:t xml:space="preserve">but </w:t>
      </w:r>
      <w:r w:rsidR="00BE2ADE">
        <w:t>in December</w:t>
      </w:r>
      <w:r w:rsidR="00FB37C9">
        <w:t xml:space="preserve"> she wrote</w:t>
      </w:r>
      <w:r w:rsidR="00495D4D">
        <w:t>,</w:t>
      </w:r>
      <w:r w:rsidR="00BE2ADE">
        <w:t xml:space="preserve"> </w:t>
      </w:r>
      <w:r w:rsidR="00495D4D">
        <w:t>‘T</w:t>
      </w:r>
      <w:r w:rsidR="00DE3443">
        <w:t>he armistice is signed, the fighting has ceased, but Papa has not come back! I don’t understand anything. When is he going to return? The newspapers say nothing about it. Mummy does not know and, as for me, I have a heavy heart. So</w:t>
      </w:r>
      <w:r w:rsidR="002C0C78">
        <w:t xml:space="preserve">, as usual each night, I kiss his photo and slip it under my </w:t>
      </w:r>
      <w:r w:rsidR="00FD6C3E">
        <w:t xml:space="preserve">pillow </w:t>
      </w:r>
      <w:r w:rsidR="002C0C78">
        <w:t>before I go to sleep.’</w:t>
      </w:r>
      <w:r w:rsidR="002C0C78">
        <w:rPr>
          <w:rStyle w:val="FootnoteReference"/>
        </w:rPr>
        <w:footnoteReference w:id="33"/>
      </w:r>
    </w:p>
    <w:p w14:paraId="04F5AD38" w14:textId="2FB791F9" w:rsidR="00FB37C9" w:rsidRDefault="002C0C78" w:rsidP="00456BF1">
      <w:pPr>
        <w:spacing w:line="480" w:lineRule="auto"/>
        <w:ind w:firstLine="720"/>
      </w:pPr>
      <w:r>
        <w:t>Her father came home on 10 February 1919 and accompanied her to school the following morning</w:t>
      </w:r>
      <w:r w:rsidR="00BE2ADE">
        <w:t xml:space="preserve">, but </w:t>
      </w:r>
      <w:r w:rsidR="00FB37C9">
        <w:t xml:space="preserve">– </w:t>
      </w:r>
      <w:r w:rsidR="005B06E5">
        <w:t xml:space="preserve">in </w:t>
      </w:r>
      <w:r w:rsidR="00FB37C9">
        <w:t xml:space="preserve">his daughter’s judgment - </w:t>
      </w:r>
      <w:r w:rsidR="00BE2ADE">
        <w:t xml:space="preserve">not until the </w:t>
      </w:r>
      <w:r w:rsidR="005B06E5">
        <w:t xml:space="preserve">signature of the </w:t>
      </w:r>
      <w:r w:rsidR="00BE2ADE">
        <w:t xml:space="preserve">peace treaty itself </w:t>
      </w:r>
      <w:r w:rsidR="005B06E5">
        <w:t>d</w:t>
      </w:r>
      <w:r w:rsidR="00BE2ADE">
        <w:t xml:space="preserve">id his fear of the war’s resumption evaporate and his sense of joy recover. He knew, as </w:t>
      </w:r>
      <w:r w:rsidR="00ED6D6F">
        <w:t xml:space="preserve">his </w:t>
      </w:r>
      <w:r w:rsidR="00BE2ADE">
        <w:t xml:space="preserve">‘Lili’ could not, </w:t>
      </w:r>
      <w:r w:rsidR="00ED6D6F">
        <w:t>that the strain on the French army had not ended in November 1918. In some respects it was exacerbated</w:t>
      </w:r>
      <w:r w:rsidR="00495D4D">
        <w:t>,</w:t>
      </w:r>
      <w:r w:rsidR="00ED6D6F">
        <w:t xml:space="preserve"> as the United States </w:t>
      </w:r>
      <w:r w:rsidR="005B06E5">
        <w:t xml:space="preserve">began to </w:t>
      </w:r>
      <w:r w:rsidR="00ED6D6F">
        <w:t xml:space="preserve">withdrew its troops from Europe and the </w:t>
      </w:r>
      <w:r w:rsidR="00E737CD">
        <w:t xml:space="preserve">white </w:t>
      </w:r>
      <w:r w:rsidR="00ED6D6F">
        <w:t xml:space="preserve">soldiers of the British empire from Australia, Canada and New Zealand, who </w:t>
      </w:r>
      <w:r w:rsidR="00FB37C9">
        <w:t xml:space="preserve">during the war </w:t>
      </w:r>
      <w:r w:rsidR="00ED6D6F">
        <w:t>had been too far from home to be allowed anything other</w:t>
      </w:r>
      <w:r w:rsidR="00FB37C9">
        <w:t xml:space="preserve"> than</w:t>
      </w:r>
      <w:r w:rsidR="00ED6D6F">
        <w:t xml:space="preserve"> local leave in Paris or London, </w:t>
      </w:r>
      <w:r w:rsidR="005B06E5">
        <w:t>followed suit</w:t>
      </w:r>
      <w:r w:rsidR="00ED6D6F">
        <w:t xml:space="preserve">. The soldiers of France and Britain had to occupy the defeated countries, police their own empires and – if need be – remain ready to resume the war with Germany. Britain retained conscription until 1920 and demobilisation was not as fast as either the soldiers or their families expected. </w:t>
      </w:r>
    </w:p>
    <w:p w14:paraId="3437201C" w14:textId="5C45444C" w:rsidR="00FD6C3E" w:rsidRDefault="00ED6D6F" w:rsidP="00663879">
      <w:pPr>
        <w:spacing w:line="480" w:lineRule="auto"/>
        <w:ind w:firstLine="720"/>
      </w:pPr>
      <w:r>
        <w:t>In</w:t>
      </w:r>
      <w:r w:rsidR="00FB37C9">
        <w:t xml:space="preserve">itially Britain gave priority to </w:t>
      </w:r>
      <w:r w:rsidR="00795131">
        <w:t xml:space="preserve">the release of </w:t>
      </w:r>
      <w:r w:rsidR="00FB37C9">
        <w:t xml:space="preserve">those who had the skills necessary for the recovery of the peacetime economy, regardless of length of service. Unsurprisingly this prioritisation of society’s needs over those of the individual caused discontent. In </w:t>
      </w:r>
      <w:r>
        <w:t>January and February 1919 British soldiers on leave refused to return to duty</w:t>
      </w:r>
      <w:r w:rsidR="00DA6131">
        <w:t xml:space="preserve"> and staged what were called demobilisation ‘strikes’</w:t>
      </w:r>
      <w:r w:rsidR="00FB37C9">
        <w:t>.</w:t>
      </w:r>
      <w:r w:rsidR="00DA6131">
        <w:rPr>
          <w:rStyle w:val="FootnoteReference"/>
        </w:rPr>
        <w:footnoteReference w:id="34"/>
      </w:r>
      <w:r w:rsidR="00FB37C9">
        <w:t xml:space="preserve">  </w:t>
      </w:r>
      <w:r w:rsidR="00BF31E6">
        <w:t xml:space="preserve">France adopted a different policy: </w:t>
      </w:r>
      <w:r w:rsidR="00B04A6E">
        <w:t xml:space="preserve">those who had been called up first were </w:t>
      </w:r>
      <w:r w:rsidR="005B06E5">
        <w:t xml:space="preserve">also </w:t>
      </w:r>
      <w:r w:rsidR="00B04A6E">
        <w:t>the first to be released.</w:t>
      </w:r>
      <w:r w:rsidR="00BF31E6">
        <w:t xml:space="preserve"> </w:t>
      </w:r>
      <w:r w:rsidR="00795131">
        <w:t xml:space="preserve">While </w:t>
      </w:r>
      <w:r w:rsidR="00BF31E6">
        <w:t>contain</w:t>
      </w:r>
      <w:r w:rsidR="00795131">
        <w:t>ing</w:t>
      </w:r>
      <w:r w:rsidR="00BF31E6">
        <w:t xml:space="preserve"> discontent, it did not eliminate it. </w:t>
      </w:r>
      <w:r w:rsidR="00B04A6E">
        <w:t xml:space="preserve">France’s troubles occurred particularly in the Armée d’ Orient, whose war in the Balkans ended less neatly </w:t>
      </w:r>
      <w:r w:rsidR="00BF31E6">
        <w:t xml:space="preserve">than it did on the western front </w:t>
      </w:r>
      <w:r w:rsidR="00B04A6E">
        <w:t>and for whose soldiers the journey home was harder to arrange.</w:t>
      </w:r>
      <w:r w:rsidR="00B04A6E">
        <w:rPr>
          <w:rStyle w:val="FootnoteReference"/>
        </w:rPr>
        <w:footnoteReference w:id="35"/>
      </w:r>
      <w:r w:rsidR="00B04A6E">
        <w:t xml:space="preserve">  </w:t>
      </w:r>
      <w:r w:rsidR="00BF31E6">
        <w:t xml:space="preserve">The Armée d’ Orient </w:t>
      </w:r>
      <w:r w:rsidR="00374023">
        <w:t xml:space="preserve">provided units for the intervention in Russia, and </w:t>
      </w:r>
      <w:r w:rsidR="005B06E5">
        <w:t xml:space="preserve">in January 1919 </w:t>
      </w:r>
      <w:r w:rsidR="00374023">
        <w:t xml:space="preserve">an infantry regiment in Ukraine mutinied. The Black Sea became the epicentre of </w:t>
      </w:r>
      <w:r w:rsidR="005B06E5">
        <w:t xml:space="preserve">French military </w:t>
      </w:r>
      <w:r w:rsidR="00374023">
        <w:t xml:space="preserve">disaffection which radiated out to the Mediterranean and lasted until October. Its </w:t>
      </w:r>
      <w:r w:rsidR="00B04A6E">
        <w:t xml:space="preserve">most significant manifestation </w:t>
      </w:r>
      <w:r w:rsidR="00374023">
        <w:t xml:space="preserve">was </w:t>
      </w:r>
      <w:r w:rsidR="00B04A6E">
        <w:t xml:space="preserve">the mutiny of a French </w:t>
      </w:r>
      <w:r w:rsidR="00BF31E6">
        <w:t xml:space="preserve">naval </w:t>
      </w:r>
      <w:r w:rsidR="00B04A6E">
        <w:t>squadron in April</w:t>
      </w:r>
      <w:r w:rsidR="00374023">
        <w:t xml:space="preserve">. By June </w:t>
      </w:r>
      <w:r w:rsidR="005B06E5">
        <w:t xml:space="preserve">the crews of </w:t>
      </w:r>
      <w:r w:rsidR="00374023">
        <w:t xml:space="preserve">French patrol boats in the Baltic </w:t>
      </w:r>
      <w:r w:rsidR="005B06E5">
        <w:t>were demanding leave and demobilisation.</w:t>
      </w:r>
      <w:r w:rsidR="00B04A6E">
        <w:rPr>
          <w:rStyle w:val="FootnoteReference"/>
        </w:rPr>
        <w:footnoteReference w:id="36"/>
      </w:r>
      <w:r w:rsidR="00B04A6E">
        <w:t xml:space="preserve"> </w:t>
      </w:r>
      <w:r w:rsidR="00663879">
        <w:t xml:space="preserve"> In northern waters, long periods of inactivity in 1917-18 had generated worries about morale, especially on capital ships.  Discipline in the Royal Navy remained generally good until the armistice but fractured in January 1919.  The minesweepers of the Grand Fleet refused to put to sea because of low pay and crews on a number of ships, one of which raised the red flag, mutinied.</w:t>
      </w:r>
      <w:r w:rsidR="00663879" w:rsidRPr="00663879">
        <w:rPr>
          <w:rStyle w:val="FootnoteReference"/>
          <w:u w:val="double"/>
        </w:rPr>
        <w:t xml:space="preserve"> </w:t>
      </w:r>
      <w:r w:rsidR="00663879">
        <w:rPr>
          <w:rStyle w:val="FootnoteReference"/>
          <w:u w:val="double"/>
        </w:rPr>
        <w:footnoteReference w:id="37"/>
      </w:r>
      <w:r w:rsidR="002C0C78">
        <w:t xml:space="preserve"> </w:t>
      </w:r>
      <w:r w:rsidR="003E556C">
        <w:t xml:space="preserve"> </w:t>
      </w:r>
    </w:p>
    <w:p w14:paraId="4986F89F" w14:textId="133D4DFF" w:rsidR="00041763" w:rsidRDefault="0059134E" w:rsidP="00456BF1">
      <w:pPr>
        <w:spacing w:line="480" w:lineRule="auto"/>
        <w:ind w:firstLine="720"/>
      </w:pPr>
      <w:r>
        <w:t xml:space="preserve">Both </w:t>
      </w:r>
      <w:r w:rsidR="00BF31E6">
        <w:t xml:space="preserve">British and French </w:t>
      </w:r>
      <w:r>
        <w:t xml:space="preserve">governments met the fear of further disorder in their armed forces with the language of appeasement </w:t>
      </w:r>
      <w:r w:rsidR="00AF40C9">
        <w:t xml:space="preserve">as much as with </w:t>
      </w:r>
      <w:r>
        <w:t>the enforcement of discipline. The</w:t>
      </w:r>
      <w:r w:rsidR="00E737CD">
        <w:t>y sought to return their citizen soldiers more rapidly to civilian life</w:t>
      </w:r>
      <w:r w:rsidR="00663879">
        <w:t>.  On 29 June 1919, the British switched to the French model of demobilisation by seniority</w:t>
      </w:r>
      <w:r w:rsidR="008D4B01">
        <w:t>, but mutinies still occurred, most famously in the Connaught Rangers in India in June 1920.</w:t>
      </w:r>
      <w:r w:rsidR="008D4B01">
        <w:rPr>
          <w:rStyle w:val="FootnoteReference"/>
        </w:rPr>
        <w:footnoteReference w:id="38"/>
      </w:r>
      <w:r w:rsidR="008D4B01">
        <w:t xml:space="preserve"> </w:t>
      </w:r>
      <w:r w:rsidR="00663879">
        <w:t>The</w:t>
      </w:r>
      <w:r w:rsidR="00FE04A2">
        <w:t xml:space="preserve"> British </w:t>
      </w:r>
      <w:r>
        <w:t>army mustered 3.8 million me</w:t>
      </w:r>
      <w:r w:rsidR="00E737CD">
        <w:t>n</w:t>
      </w:r>
      <w:r>
        <w:t xml:space="preserve"> in November 1918 but 890,000 in November 1919 and </w:t>
      </w:r>
      <w:r w:rsidR="00663879">
        <w:t>4</w:t>
      </w:r>
      <w:r>
        <w:t>30,000 by November 1920.</w:t>
      </w:r>
      <w:r>
        <w:rPr>
          <w:rStyle w:val="FootnoteReference"/>
        </w:rPr>
        <w:footnoteReference w:id="39"/>
      </w:r>
      <w:r>
        <w:t xml:space="preserve">  </w:t>
      </w:r>
      <w:r w:rsidR="00E737CD">
        <w:t>To cut its numbers at that rate</w:t>
      </w:r>
      <w:r w:rsidR="00EE3498">
        <w:t xml:space="preserve"> and still meet its commitments, </w:t>
      </w:r>
      <w:r w:rsidR="00E737CD">
        <w:t xml:space="preserve">it had to be less generous with those who had fewer political rights.  </w:t>
      </w:r>
      <w:r w:rsidR="00F12F36">
        <w:t>Some Indian regiments in the Middle East did not get back home until 1923</w:t>
      </w:r>
      <w:r w:rsidR="006F00DC">
        <w:t>. W</w:t>
      </w:r>
      <w:r w:rsidR="00F12F36">
        <w:t xml:space="preserve">hen </w:t>
      </w:r>
      <w:r w:rsidR="00EE3498">
        <w:t xml:space="preserve">in December 1918 </w:t>
      </w:r>
      <w:r w:rsidR="00F12F36">
        <w:t xml:space="preserve">the </w:t>
      </w:r>
      <w:r w:rsidR="006F00DC">
        <w:t xml:space="preserve">black soldiers of the </w:t>
      </w:r>
      <w:r w:rsidR="00F12F36">
        <w:t xml:space="preserve">British West Indies Regiment serving in Italy mutinied in </w:t>
      </w:r>
      <w:r w:rsidR="006F00DC">
        <w:t>Taranto over rates of pay, allowances and promotion, the sentences looked more severe than those handed out to white troops.</w:t>
      </w:r>
      <w:r w:rsidR="006F00DC">
        <w:rPr>
          <w:rStyle w:val="FootnoteReference"/>
        </w:rPr>
        <w:footnoteReference w:id="40"/>
      </w:r>
      <w:r w:rsidR="006F00DC">
        <w:t xml:space="preserve">  France too kept its colonial soldiers under arms for longer</w:t>
      </w:r>
      <w:r w:rsidR="008105D6">
        <w:t xml:space="preserve">, arousing the ire of the Germans by deploying Senegalese in its army of occupation, but also </w:t>
      </w:r>
      <w:r w:rsidR="00BF31E6">
        <w:t xml:space="preserve">growing </w:t>
      </w:r>
      <w:r w:rsidR="00EE3498">
        <w:t>the proportion</w:t>
      </w:r>
      <w:r w:rsidR="00AF40C9">
        <w:t xml:space="preserve"> of North African troops</w:t>
      </w:r>
      <w:r w:rsidR="00EE3498">
        <w:t xml:space="preserve"> in the </w:t>
      </w:r>
      <w:proofErr w:type="spellStart"/>
      <w:r w:rsidR="00EE3498">
        <w:t>Armée</w:t>
      </w:r>
      <w:proofErr w:type="spellEnd"/>
      <w:r w:rsidR="00EE3498">
        <w:t xml:space="preserve"> </w:t>
      </w:r>
      <w:proofErr w:type="spellStart"/>
      <w:r w:rsidR="00EE3498">
        <w:t>d’Orient</w:t>
      </w:r>
      <w:proofErr w:type="spellEnd"/>
      <w:r w:rsidR="00EE3498">
        <w:t xml:space="preserve"> </w:t>
      </w:r>
      <w:r w:rsidR="008105D6">
        <w:t xml:space="preserve">to secure its interests outside Europe. </w:t>
      </w:r>
      <w:r>
        <w:t>The French army</w:t>
      </w:r>
      <w:r w:rsidR="00795131">
        <w:t xml:space="preserve">, which </w:t>
      </w:r>
      <w:r>
        <w:t>totalled 90</w:t>
      </w:r>
      <w:r w:rsidR="00401473">
        <w:t>0</w:t>
      </w:r>
      <w:r>
        <w:t>,000 on 1 July 1920, of whom about 650,000 were in France</w:t>
      </w:r>
      <w:r w:rsidR="00401473">
        <w:t xml:space="preserve">, still stood at 850,000 a year later. </w:t>
      </w:r>
      <w:r w:rsidR="00FD6C3E">
        <w:t>The</w:t>
      </w:r>
      <w:r w:rsidR="00EE3498">
        <w:t>se numbers were high enough for the B</w:t>
      </w:r>
      <w:r w:rsidR="00FD6C3E">
        <w:t xml:space="preserve">ritish to worry once more about French domination of Europe and </w:t>
      </w:r>
      <w:r w:rsidR="00EE3498">
        <w:t xml:space="preserve">for </w:t>
      </w:r>
      <w:r w:rsidR="00FD6C3E">
        <w:t xml:space="preserve">the Americans </w:t>
      </w:r>
      <w:r w:rsidR="00EE3498">
        <w:t xml:space="preserve">to </w:t>
      </w:r>
      <w:r w:rsidR="00FD6C3E">
        <w:t>complain that the</w:t>
      </w:r>
      <w:r w:rsidR="00EE3498">
        <w:t xml:space="preserve"> cost </w:t>
      </w:r>
      <w:r w:rsidR="00BF31E6">
        <w:t xml:space="preserve">to France </w:t>
      </w:r>
      <w:r w:rsidR="00FD6C3E">
        <w:t xml:space="preserve">was slowing the repayment of </w:t>
      </w:r>
      <w:r w:rsidR="00BF31E6">
        <w:t>its</w:t>
      </w:r>
      <w:r w:rsidR="00FD6C3E">
        <w:t xml:space="preserve"> war debt. </w:t>
      </w:r>
      <w:r w:rsidR="00E737CD">
        <w:t xml:space="preserve">The French army </w:t>
      </w:r>
      <w:r w:rsidR="00AF40C9">
        <w:t xml:space="preserve">remained strong enough to deal </w:t>
      </w:r>
      <w:r>
        <w:t xml:space="preserve">with Germany militarily, but </w:t>
      </w:r>
      <w:r w:rsidR="00FD6C3E">
        <w:t xml:space="preserve">only </w:t>
      </w:r>
      <w:r>
        <w:t xml:space="preserve">because it had effectively </w:t>
      </w:r>
      <w:r w:rsidR="00401473">
        <w:t>cut back</w:t>
      </w:r>
      <w:r w:rsidR="00E737CD">
        <w:t xml:space="preserve"> on</w:t>
      </w:r>
      <w:r w:rsidR="00401473">
        <w:t xml:space="preserve"> </w:t>
      </w:r>
      <w:r w:rsidR="00FD6C3E">
        <w:t xml:space="preserve">its </w:t>
      </w:r>
      <w:r w:rsidR="004428A7">
        <w:t>commit</w:t>
      </w:r>
      <w:r w:rsidR="00FD6C3E">
        <w:t xml:space="preserve">ments </w:t>
      </w:r>
      <w:r>
        <w:t>elsewhere</w:t>
      </w:r>
      <w:r w:rsidR="00401473">
        <w:t xml:space="preserve">, </w:t>
      </w:r>
      <w:r w:rsidR="004428A7">
        <w:t>in the Levant, Poland and Czechoslovakia, and in North Africa and the colonies</w:t>
      </w:r>
      <w:r>
        <w:t>.</w:t>
      </w:r>
      <w:r w:rsidR="004428A7">
        <w:t xml:space="preserve">  As </w:t>
      </w:r>
      <w:r w:rsidR="00BF31E6">
        <w:t xml:space="preserve">Hubert </w:t>
      </w:r>
      <w:proofErr w:type="spellStart"/>
      <w:r w:rsidR="00BF31E6">
        <w:t>Lyautey</w:t>
      </w:r>
      <w:proofErr w:type="spellEnd"/>
      <w:r w:rsidR="00BF31E6">
        <w:t xml:space="preserve">, </w:t>
      </w:r>
      <w:r w:rsidR="004428A7">
        <w:t xml:space="preserve">the former minister of war </w:t>
      </w:r>
      <w:r w:rsidR="00BF31E6">
        <w:t xml:space="preserve">who was </w:t>
      </w:r>
      <w:r w:rsidR="004428A7">
        <w:t xml:space="preserve">now once again </w:t>
      </w:r>
      <w:r w:rsidR="00AF40C9">
        <w:t xml:space="preserve">the military </w:t>
      </w:r>
      <w:r w:rsidR="004428A7">
        <w:t xml:space="preserve">governor of Morocco, put it in September 1920, </w:t>
      </w:r>
      <w:r w:rsidR="00FD6C3E">
        <w:t>‘We have taken on more responsibilities than it is materially possible for this country to shoulder’.</w:t>
      </w:r>
      <w:r w:rsidR="004428A7">
        <w:rPr>
          <w:rStyle w:val="FootnoteReference"/>
        </w:rPr>
        <w:footnoteReference w:id="41"/>
      </w:r>
      <w:r>
        <w:t xml:space="preserve"> </w:t>
      </w:r>
    </w:p>
    <w:p w14:paraId="2BA6BB96" w14:textId="660EF1D0" w:rsidR="008105D6" w:rsidRDefault="00BF31E6" w:rsidP="00456BF1">
      <w:pPr>
        <w:spacing w:line="480" w:lineRule="auto"/>
        <w:ind w:firstLine="720"/>
      </w:pPr>
      <w:r>
        <w:t>Henry Wilson reached the same conclusion</w:t>
      </w:r>
      <w:r w:rsidR="00EE3498">
        <w:t xml:space="preserve">. </w:t>
      </w:r>
      <w:r w:rsidR="00906229">
        <w:t xml:space="preserve">He called for the alignment of means and ends; for Britain to </w:t>
      </w:r>
      <w:r w:rsidR="00795131">
        <w:t>frame</w:t>
      </w:r>
      <w:r>
        <w:t xml:space="preserve"> i</w:t>
      </w:r>
      <w:r w:rsidR="00906229">
        <w:t xml:space="preserve">ts political ambitions </w:t>
      </w:r>
      <w:r w:rsidR="00795131">
        <w:t xml:space="preserve">according to </w:t>
      </w:r>
      <w:r w:rsidR="00906229">
        <w:t xml:space="preserve">the size of the army it now possessed. In April 1919 </w:t>
      </w:r>
      <w:r w:rsidR="009E7659">
        <w:t xml:space="preserve">Rear </w:t>
      </w:r>
      <w:r w:rsidR="00906229">
        <w:t xml:space="preserve">Admiral </w:t>
      </w:r>
      <w:r w:rsidR="009E7659">
        <w:t>Walter</w:t>
      </w:r>
      <w:r w:rsidR="00906229">
        <w:t xml:space="preserve"> Cowan, who was commanding the </w:t>
      </w:r>
      <w:r w:rsidR="009E7659">
        <w:t>British ships in the Baltic operating in support of the Whites against the Reds,</w:t>
      </w:r>
      <w:r w:rsidR="004C17CC">
        <w:t xml:space="preserve"> </w:t>
      </w:r>
      <w:r w:rsidR="00EE3498">
        <w:t xml:space="preserve">informally </w:t>
      </w:r>
      <w:r w:rsidR="00401473">
        <w:t xml:space="preserve">asked </w:t>
      </w:r>
      <w:r w:rsidR="00D46A3C">
        <w:t xml:space="preserve">Wilson if the army could help. </w:t>
      </w:r>
      <w:r w:rsidR="00401473">
        <w:t xml:space="preserve">Wilson </w:t>
      </w:r>
      <w:r w:rsidR="00D46A3C">
        <w:t xml:space="preserve">replied that </w:t>
      </w:r>
      <w:r w:rsidR="00AF40C9">
        <w:t xml:space="preserve">it </w:t>
      </w:r>
      <w:r w:rsidR="00D46A3C">
        <w:t xml:space="preserve">could only do so if </w:t>
      </w:r>
      <w:r w:rsidR="00401473">
        <w:t>‘</w:t>
      </w:r>
      <w:r w:rsidR="00906229">
        <w:t xml:space="preserve">the Big Four [Woodrow Wilson, Clemenceau, Lloyd George and Orlando] lay down a </w:t>
      </w:r>
      <w:r w:rsidR="00401473">
        <w:t xml:space="preserve">broad </w:t>
      </w:r>
      <w:r w:rsidR="00906229">
        <w:t xml:space="preserve">policy … Since November </w:t>
      </w:r>
      <w:r w:rsidR="00401473">
        <w:t>22</w:t>
      </w:r>
      <w:r w:rsidR="00906229">
        <w:t xml:space="preserve"> of last year I have been trying to get a policy – trying, trying, trying, and not a shadow of success.’</w:t>
      </w:r>
      <w:r w:rsidR="00906229">
        <w:rPr>
          <w:rStyle w:val="FootnoteReference"/>
        </w:rPr>
        <w:footnoteReference w:id="42"/>
      </w:r>
      <w:r w:rsidR="00906229">
        <w:t xml:space="preserve"> </w:t>
      </w:r>
      <w:r w:rsidR="008105D6">
        <w:t xml:space="preserve">He wanted to </w:t>
      </w:r>
      <w:r w:rsidR="00AF40C9">
        <w:t xml:space="preserve">withdraw </w:t>
      </w:r>
      <w:r w:rsidR="008105D6">
        <w:t xml:space="preserve">British troops </w:t>
      </w:r>
      <w:r w:rsidR="00AF40C9">
        <w:t xml:space="preserve">from </w:t>
      </w:r>
      <w:r w:rsidR="008105D6">
        <w:t xml:space="preserve">Europe and Russia so that </w:t>
      </w:r>
      <w:r w:rsidR="004C17CC">
        <w:t>he</w:t>
      </w:r>
      <w:r w:rsidR="008105D6">
        <w:t xml:space="preserve"> could concentrate </w:t>
      </w:r>
      <w:r w:rsidR="004C17CC">
        <w:t xml:space="preserve">their </w:t>
      </w:r>
      <w:r w:rsidR="008105D6">
        <w:t>efforts where he felt they were needed, at home and in Ireland, Egypt and India.</w:t>
      </w:r>
    </w:p>
    <w:p w14:paraId="0419F3D2" w14:textId="5D941916" w:rsidR="0018193B" w:rsidRDefault="008105D6" w:rsidP="00456BF1">
      <w:pPr>
        <w:spacing w:line="480" w:lineRule="auto"/>
        <w:ind w:firstLine="720"/>
      </w:pPr>
      <w:r>
        <w:t xml:space="preserve">In other words Wilson’s frustrations with Lloyd George arose from </w:t>
      </w:r>
      <w:r w:rsidR="004C17CC">
        <w:t xml:space="preserve">the latter’s </w:t>
      </w:r>
      <w:r>
        <w:t xml:space="preserve">inability to make choices from which the army could make strategy. In particular, the prime minister’s support for the Greeks and contempt for the Turks resulted in the scattering of </w:t>
      </w:r>
      <w:r w:rsidR="00314D01">
        <w:t xml:space="preserve">militarily </w:t>
      </w:r>
      <w:r>
        <w:t xml:space="preserve">ineffective detachments of troops around the Black Sea, at </w:t>
      </w:r>
      <w:proofErr w:type="spellStart"/>
      <w:r>
        <w:t>Çannakale</w:t>
      </w:r>
      <w:proofErr w:type="spellEnd"/>
      <w:r w:rsidR="00314D01">
        <w:t xml:space="preserve"> and in the Caucasus, none of them able to survive if individually attacked. Wilson recorded that on 17 June 1920 he had told Winston Churchill, by then Secretary of War, ‘that in my opinion we were heading straight for disaster in Constantinople, Dardanelles, Mesopotamia, and Persia. As I had over and over again pointed out, our policy had no relation to the forces at our disposal, and so </w:t>
      </w:r>
      <w:r w:rsidR="00AF40C9">
        <w:t xml:space="preserve">we </w:t>
      </w:r>
      <w:r w:rsidR="00314D01">
        <w:t>were incapable of carrying out our commitments.’</w:t>
      </w:r>
      <w:r w:rsidR="00314D01">
        <w:rPr>
          <w:rStyle w:val="FootnoteReference"/>
        </w:rPr>
        <w:footnoteReference w:id="43"/>
      </w:r>
    </w:p>
    <w:p w14:paraId="1F2C5B8B" w14:textId="1FCAE6E7" w:rsidR="00DD3984" w:rsidRDefault="00D46A3C" w:rsidP="00456BF1">
      <w:pPr>
        <w:spacing w:line="480" w:lineRule="auto"/>
        <w:ind w:firstLine="720"/>
      </w:pPr>
      <w:r>
        <w:t>Lloyd George had brought Henry Wilson in as chief of the imperial general staff</w:t>
      </w:r>
      <w:r w:rsidR="00AF40C9">
        <w:t xml:space="preserve"> in February 1918</w:t>
      </w:r>
      <w:r>
        <w:t xml:space="preserve"> to neutralise his other generals, pre-eminently Sir William Robertson, who lost his job as a result, and Sir Douglas Haig</w:t>
      </w:r>
      <w:r w:rsidR="00492310">
        <w:t xml:space="preserve">.  Haig did not like Wilson, not least because of his overtly political orchestration of </w:t>
      </w:r>
      <w:r>
        <w:t xml:space="preserve">the so-called Curragh mutiny </w:t>
      </w:r>
      <w:r w:rsidR="00DD3984">
        <w:t>during</w:t>
      </w:r>
      <w:r w:rsidR="00AF40C9">
        <w:t xml:space="preserve"> the</w:t>
      </w:r>
      <w:r w:rsidR="00DD3984">
        <w:t xml:space="preserve"> </w:t>
      </w:r>
      <w:r>
        <w:t xml:space="preserve">Irish home rule </w:t>
      </w:r>
      <w:r w:rsidR="00DD3984">
        <w:t xml:space="preserve">crisis </w:t>
      </w:r>
      <w:r>
        <w:t>in March 1914</w:t>
      </w:r>
      <w:r w:rsidR="00492310">
        <w:t xml:space="preserve">, </w:t>
      </w:r>
      <w:r w:rsidR="00795131">
        <w:t xml:space="preserve">and </w:t>
      </w:r>
      <w:r w:rsidR="00492310">
        <w:t xml:space="preserve">his own leverage was reduced </w:t>
      </w:r>
      <w:r w:rsidR="00B77650">
        <w:t xml:space="preserve">when </w:t>
      </w:r>
      <w:r>
        <w:t xml:space="preserve">the fighting </w:t>
      </w:r>
      <w:r w:rsidR="00B77650">
        <w:t>ended o</w:t>
      </w:r>
      <w:r>
        <w:t>n the western front</w:t>
      </w:r>
      <w:r w:rsidR="00492310">
        <w:t xml:space="preserve">. By 1919 </w:t>
      </w:r>
      <w:r>
        <w:t xml:space="preserve">Wilson was indisputably the government’s principal military adviser, but by 1920 he and Lloyd George met </w:t>
      </w:r>
      <w:r w:rsidR="00492310">
        <w:t>with much less frequency</w:t>
      </w:r>
      <w:r>
        <w:t xml:space="preserve">. </w:t>
      </w:r>
      <w:r w:rsidR="00B77650">
        <w:t>Wilson</w:t>
      </w:r>
      <w:r w:rsidR="00492310">
        <w:t xml:space="preserve"> wrote on 13 February 1921, ‘If the highest art and form of statesmanship is to reduce an absolutely peaceful, quiet, thinking country into hell then Lloyd George is a master’. A</w:t>
      </w:r>
      <w:r>
        <w:t xml:space="preserve">s in 1914, Ireland again exacerbated a fraught situation.  Wilson was an Irish unionist, who </w:t>
      </w:r>
      <w:r w:rsidR="00AF40C9">
        <w:t xml:space="preserve">in February 1922, </w:t>
      </w:r>
      <w:r>
        <w:t>on his retirement from the army</w:t>
      </w:r>
      <w:r w:rsidR="00413AA8">
        <w:t xml:space="preserve">, </w:t>
      </w:r>
      <w:r>
        <w:t xml:space="preserve">was elected as the Member of Parliament for North Down. He </w:t>
      </w:r>
      <w:r w:rsidR="00413AA8">
        <w:t>pledged himself to devote all his ‘energies public &amp; private … to getting rid of that pack of Cowards: the present Cabinet’.</w:t>
      </w:r>
      <w:r w:rsidR="00DD3984">
        <w:rPr>
          <w:rStyle w:val="FootnoteReference"/>
        </w:rPr>
        <w:footnoteReference w:id="44"/>
      </w:r>
      <w:r w:rsidR="00DD3984">
        <w:t xml:space="preserve"> </w:t>
      </w:r>
    </w:p>
    <w:p w14:paraId="459C66FB" w14:textId="245741CD" w:rsidR="00EF3944" w:rsidRDefault="00DD3984" w:rsidP="00456BF1">
      <w:pPr>
        <w:spacing w:line="480" w:lineRule="auto"/>
        <w:ind w:firstLine="720"/>
      </w:pPr>
      <w:r>
        <w:t>Foch’s falling out with Clemenceau</w:t>
      </w:r>
      <w:r w:rsidR="004F19A1">
        <w:t xml:space="preserve"> began </w:t>
      </w:r>
      <w:r w:rsidR="00413AA8">
        <w:t>even earlier than Wilson’s with Lloyd George</w:t>
      </w:r>
      <w:r w:rsidR="00492310">
        <w:t xml:space="preserve">. </w:t>
      </w:r>
      <w:r w:rsidR="00B77650">
        <w:t xml:space="preserve">Early in </w:t>
      </w:r>
      <w:r w:rsidR="004F19A1">
        <w:t xml:space="preserve">October 1918, </w:t>
      </w:r>
      <w:r w:rsidR="00492310">
        <w:t>with the war not yet over, their relationship ‘refroze’, a</w:t>
      </w:r>
      <w:r>
        <w:t xml:space="preserve">ccording to </w:t>
      </w:r>
      <w:proofErr w:type="spellStart"/>
      <w:r>
        <w:t>Mordacq</w:t>
      </w:r>
      <w:proofErr w:type="spellEnd"/>
      <w:r w:rsidR="008D4570">
        <w:t>.</w:t>
      </w:r>
      <w:r w:rsidR="008D4570" w:rsidRPr="008D4570">
        <w:rPr>
          <w:rStyle w:val="FootnoteReference"/>
        </w:rPr>
        <w:t xml:space="preserve"> </w:t>
      </w:r>
      <w:r w:rsidR="008D4570">
        <w:rPr>
          <w:rStyle w:val="FootnoteReference"/>
        </w:rPr>
        <w:footnoteReference w:id="45"/>
      </w:r>
      <w:r w:rsidR="008D4570">
        <w:t xml:space="preserve"> Clemenceau blamed Foch for not pushing the Americans hard enough in the Argonne.  A</w:t>
      </w:r>
      <w:r>
        <w:t>s head of Clemenceau’s military cabinet</w:t>
      </w:r>
      <w:r w:rsidR="008D4570">
        <w:t xml:space="preserve">, </w:t>
      </w:r>
      <w:proofErr w:type="spellStart"/>
      <w:r w:rsidR="008D4570">
        <w:t>Mordacq</w:t>
      </w:r>
      <w:proofErr w:type="spellEnd"/>
      <w:r w:rsidR="008D4570">
        <w:t xml:space="preserve"> </w:t>
      </w:r>
      <w:r w:rsidR="00492310">
        <w:t>saw them both regularly</w:t>
      </w:r>
      <w:r w:rsidR="004F19A1">
        <w:t>.</w:t>
      </w:r>
      <w:r w:rsidR="008D4570">
        <w:t xml:space="preserve">  H</w:t>
      </w:r>
      <w:r w:rsidR="00B77650">
        <w:t>e</w:t>
      </w:r>
      <w:r w:rsidR="008D4570">
        <w:t xml:space="preserve"> noted how </w:t>
      </w:r>
      <w:r w:rsidR="00EF3944">
        <w:t>the</w:t>
      </w:r>
      <w:r w:rsidR="00413AA8">
        <w:t xml:space="preserve"> harmony </w:t>
      </w:r>
      <w:r w:rsidR="00EF3944">
        <w:t xml:space="preserve">in civil-military relations which had brought victory </w:t>
      </w:r>
      <w:r w:rsidR="00413AA8">
        <w:t xml:space="preserve">was now breaking down and </w:t>
      </w:r>
      <w:r w:rsidR="00EF3944">
        <w:t>vitiat</w:t>
      </w:r>
      <w:r w:rsidR="00413AA8">
        <w:t>ing</w:t>
      </w:r>
      <w:r w:rsidR="00EF3944">
        <w:t xml:space="preserve"> the delivery of peace. He</w:t>
      </w:r>
      <w:r w:rsidR="008D4570">
        <w:t xml:space="preserve"> attributed </w:t>
      </w:r>
      <w:r w:rsidR="00413AA8">
        <w:t xml:space="preserve">the tensions </w:t>
      </w:r>
      <w:r w:rsidR="008D4570">
        <w:t xml:space="preserve">to </w:t>
      </w:r>
      <w:r w:rsidR="00EF3944">
        <w:t>cumulative misunderstandings which were then exploited by other powers, especially the United Kingdom and the United States</w:t>
      </w:r>
      <w:r w:rsidR="00413AA8">
        <w:t xml:space="preserve">. However, </w:t>
      </w:r>
      <w:r w:rsidR="00B77650">
        <w:t>also in play was C</w:t>
      </w:r>
      <w:r w:rsidR="00EF3944">
        <w:t>lemenceau’s deliberate exclusion of Foch from policy-making circles from late 1918 onwards.</w:t>
      </w:r>
    </w:p>
    <w:p w14:paraId="4DFE2084" w14:textId="1AB58A0E" w:rsidR="00D46A3C" w:rsidRDefault="009B24C2" w:rsidP="009B24C2">
      <w:pPr>
        <w:spacing w:line="480" w:lineRule="auto"/>
        <w:ind w:firstLine="720"/>
      </w:pPr>
      <w:r>
        <w:t xml:space="preserve">The French premier was determined that the army would have no part to play after the armistice.  He refused to appoint Foch a French plenipotentiary for the peace negotiations, despite the fact that </w:t>
      </w:r>
      <w:r w:rsidR="00B77650">
        <w:t xml:space="preserve">Foch </w:t>
      </w:r>
      <w:r w:rsidR="008D4570">
        <w:t xml:space="preserve">was </w:t>
      </w:r>
      <w:r w:rsidR="00E304CC">
        <w:t xml:space="preserve">meeting the Germans regularly when the politicians were not.  </w:t>
      </w:r>
      <w:r>
        <w:t xml:space="preserve">Foch </w:t>
      </w:r>
      <w:r w:rsidR="00B77650">
        <w:t>had</w:t>
      </w:r>
      <w:r>
        <w:t xml:space="preserve"> to re-negotiate and re-affirm the armistice terms every thirty-plus days.  Clemenceau saw Foch’s efforts to lay down the conditions for France’s future security and for an enduring peace in western Europe as a</w:t>
      </w:r>
      <w:r w:rsidR="00E304CC">
        <w:t xml:space="preserve"> military </w:t>
      </w:r>
      <w:r>
        <w:t xml:space="preserve">intrusion into </w:t>
      </w:r>
      <w:r w:rsidR="008D4570">
        <w:t xml:space="preserve">the </w:t>
      </w:r>
      <w:r>
        <w:t xml:space="preserve">political space. ‘The </w:t>
      </w:r>
      <w:r w:rsidR="00A203FA">
        <w:t xml:space="preserve">right to </w:t>
      </w:r>
      <w:r w:rsidR="00E304CC">
        <w:t>s</w:t>
      </w:r>
      <w:r w:rsidR="00A203FA">
        <w:t>peak [</w:t>
      </w:r>
      <w:r w:rsidR="00A203FA" w:rsidRPr="00E304CC">
        <w:rPr>
          <w:i/>
          <w:iCs/>
        </w:rPr>
        <w:t>la parole</w:t>
      </w:r>
      <w:r w:rsidR="00A203FA">
        <w:t>] w</w:t>
      </w:r>
      <w:r>
        <w:t>as no longer with the soldiers’, he said on 19 October 1918.</w:t>
      </w:r>
      <w:r>
        <w:rPr>
          <w:rStyle w:val="FootnoteReference"/>
        </w:rPr>
        <w:footnoteReference w:id="46"/>
      </w:r>
      <w:r>
        <w:t xml:space="preserve">  </w:t>
      </w:r>
      <w:r w:rsidR="008D4570">
        <w:t>As the allied advance forced Foch to move east and away from Paris, t</w:t>
      </w:r>
      <w:r>
        <w:t xml:space="preserve">he problem was compounded by physical separation. By 11 November, </w:t>
      </w:r>
      <w:proofErr w:type="spellStart"/>
      <w:r>
        <w:t>Mordacq</w:t>
      </w:r>
      <w:proofErr w:type="spellEnd"/>
      <w:r>
        <w:t xml:space="preserve"> averred, </w:t>
      </w:r>
      <w:r w:rsidR="008D4570">
        <w:t>the</w:t>
      </w:r>
      <w:r>
        <w:t xml:space="preserve"> trust between Foch and Clemenceau had </w:t>
      </w:r>
      <w:r w:rsidR="008D4570">
        <w:t>collapsed</w:t>
      </w:r>
      <w:r w:rsidR="00B11CC3">
        <w:t>.</w:t>
      </w:r>
      <w:r w:rsidR="00B11CC3">
        <w:rPr>
          <w:rStyle w:val="FootnoteReference"/>
        </w:rPr>
        <w:footnoteReference w:id="47"/>
      </w:r>
      <w:r w:rsidR="00D46A3C">
        <w:t xml:space="preserve"> </w:t>
      </w:r>
    </w:p>
    <w:p w14:paraId="33253180" w14:textId="7E8C7E33" w:rsidR="00286B39" w:rsidRDefault="00A203FA" w:rsidP="009B24C2">
      <w:pPr>
        <w:spacing w:line="480" w:lineRule="auto"/>
        <w:ind w:firstLine="720"/>
      </w:pPr>
      <w:r>
        <w:t>On 28 April 1919, Foch, ‘who is more maddened than ever by the Frocks</w:t>
      </w:r>
      <w:r w:rsidR="008D4570">
        <w:t>’, told Wilson ‘</w:t>
      </w:r>
      <w:r>
        <w:t>that the Tiger [Clemenceau] never sees him or tells him anything.’</w:t>
      </w:r>
      <w:r>
        <w:rPr>
          <w:rStyle w:val="FootnoteReference"/>
        </w:rPr>
        <w:footnoteReference w:id="48"/>
      </w:r>
      <w:r>
        <w:t xml:space="preserve">  As a result the plans for the military occupation of Germany were drawn up by the ‘Big Four’ without their consulting Foch or any other soldier. Throughout 1919 Foch’s efforts to ensure France’s – and by implication Europe’s – future security, at the point when that security could have been delivered because Germany was at its lowest ebb, were frustrated.  He was defeated on the settlement of Germany’s western frontier and the Rhineland.  When neither Lloyd George nor Woodrow Wilson would support the French proposals, </w:t>
      </w:r>
      <w:r w:rsidR="00286B39">
        <w:t xml:space="preserve">Clemenceau </w:t>
      </w:r>
      <w:r w:rsidR="008D4570">
        <w:t xml:space="preserve">caved in and </w:t>
      </w:r>
      <w:r w:rsidR="00286B39">
        <w:t xml:space="preserve">accepted the guarantee of American and British military aid if it were required. </w:t>
      </w:r>
      <w:r w:rsidR="00E304CC">
        <w:t xml:space="preserve">The Foch-Clemenceau relationship was irretrievably fractured. </w:t>
      </w:r>
      <w:r w:rsidR="00286B39">
        <w:t xml:space="preserve">In Foch’s view, France was left as exposed as it had been in August 1914. </w:t>
      </w:r>
    </w:p>
    <w:p w14:paraId="03B06739" w14:textId="56304965" w:rsidR="00B11CC3" w:rsidRDefault="00286B39" w:rsidP="009B24C2">
      <w:pPr>
        <w:spacing w:line="480" w:lineRule="auto"/>
        <w:ind w:firstLine="720"/>
      </w:pPr>
      <w:r>
        <w:t xml:space="preserve">Behind Lloyd George and Clemenceau loomed the leverage of Woodrow Wilson, a president </w:t>
      </w:r>
      <w:r w:rsidR="008D4570">
        <w:t xml:space="preserve">educated </w:t>
      </w:r>
      <w:r>
        <w:t>in the orthodoxy of American civil-military relations and unschooled in the realities of continental strategy.  The American president sought a settlement based on universal principles of law and democracy, not on the balance of power. Generals were subordinates, not colleagues. His own principal military adviser was Tasker Bliss.</w:t>
      </w:r>
      <w:r w:rsidR="00E304CC">
        <w:t xml:space="preserve">  Like Foch and Wilson, Bliss recognised the need to marry military means to political ends in </w:t>
      </w:r>
      <w:r w:rsidR="00800C3A">
        <w:t>ending the war</w:t>
      </w:r>
      <w:r w:rsidR="00E304CC">
        <w:t xml:space="preserve">, but unlike them he lacked assertiveness </w:t>
      </w:r>
      <w:r w:rsidR="00800C3A">
        <w:t xml:space="preserve">in stating </w:t>
      </w:r>
      <w:r w:rsidR="00E304CC">
        <w:t>his views.</w:t>
      </w:r>
      <w:r w:rsidR="00800C3A">
        <w:rPr>
          <w:rStyle w:val="FootnoteReference"/>
        </w:rPr>
        <w:footnoteReference w:id="49"/>
      </w:r>
      <w:r w:rsidR="00E304CC">
        <w:t xml:space="preserve"> Bliss had been the US army’s chief of staff in the second half of 1917, but </w:t>
      </w:r>
      <w:r w:rsidR="001A6A5F">
        <w:t xml:space="preserve">Woodrow </w:t>
      </w:r>
      <w:r w:rsidR="00E304CC">
        <w:t>Wilson rarely consulted him</w:t>
      </w:r>
      <w:r w:rsidR="001A6A5F">
        <w:t xml:space="preserve">.  At one level that was surprising: Bliss was the </w:t>
      </w:r>
      <w:r w:rsidR="00195A05">
        <w:t>bookish</w:t>
      </w:r>
      <w:r w:rsidR="001A6A5F">
        <w:t xml:space="preserve"> and multi-lingual son of a classics professor who ought to have appealed to the former president of Princeton</w:t>
      </w:r>
      <w:r w:rsidR="00E132FA">
        <w:t xml:space="preserve">.  However, </w:t>
      </w:r>
      <w:r w:rsidR="001A6A5F">
        <w:t>Wilson was in awe of John J. Pershing, the commander-in-chief of the American Expeditionary Force</w:t>
      </w:r>
      <w:r w:rsidR="00E132FA">
        <w:t xml:space="preserve">, who </w:t>
      </w:r>
      <w:r w:rsidR="001A6A5F">
        <w:t>thought Bliss an introvert and pedant.</w:t>
      </w:r>
      <w:r w:rsidR="00195A05">
        <w:rPr>
          <w:rStyle w:val="FootnoteReference"/>
        </w:rPr>
        <w:footnoteReference w:id="50"/>
      </w:r>
      <w:r w:rsidR="001A6A5F">
        <w:t xml:space="preserve"> In </w:t>
      </w:r>
      <w:r w:rsidR="0087122A">
        <w:t xml:space="preserve">November 1917 </w:t>
      </w:r>
      <w:r w:rsidR="00195A05">
        <w:t>Bliss</w:t>
      </w:r>
      <w:r w:rsidR="0087122A">
        <w:t xml:space="preserve"> </w:t>
      </w:r>
      <w:r w:rsidR="00E132FA">
        <w:t xml:space="preserve">accompanied </w:t>
      </w:r>
      <w:r w:rsidR="0087122A">
        <w:t xml:space="preserve">a mission </w:t>
      </w:r>
      <w:r w:rsidR="00E132FA">
        <w:t xml:space="preserve">to France </w:t>
      </w:r>
      <w:r w:rsidR="0087122A">
        <w:t xml:space="preserve">led by Edward House, the president’s closest adviser, </w:t>
      </w:r>
      <w:r w:rsidR="00E132FA">
        <w:t xml:space="preserve">and so was on the spot </w:t>
      </w:r>
      <w:r w:rsidR="0087122A">
        <w:t>when the Supreme War Council</w:t>
      </w:r>
      <w:r w:rsidR="00195A05">
        <w:t xml:space="preserve"> was</w:t>
      </w:r>
      <w:r w:rsidR="0087122A">
        <w:t xml:space="preserve"> formed</w:t>
      </w:r>
      <w:r w:rsidR="00E132FA">
        <w:t xml:space="preserve">.  He </w:t>
      </w:r>
      <w:r w:rsidR="00195A05">
        <w:t xml:space="preserve">was duly </w:t>
      </w:r>
      <w:r w:rsidR="0087122A">
        <w:t xml:space="preserve">appointed America’s </w:t>
      </w:r>
      <w:r w:rsidR="00B77650">
        <w:t>P</w:t>
      </w:r>
      <w:r w:rsidR="0087122A">
        <w:t xml:space="preserve">ermanent </w:t>
      </w:r>
      <w:r w:rsidR="00B77650">
        <w:t>M</w:t>
      </w:r>
      <w:r w:rsidR="0087122A">
        <w:t xml:space="preserve">ilitary </w:t>
      </w:r>
      <w:r w:rsidR="00B77650">
        <w:t>R</w:t>
      </w:r>
      <w:r w:rsidR="0087122A">
        <w:t>epresentative</w:t>
      </w:r>
      <w:r w:rsidR="00195A05">
        <w:t>.  A</w:t>
      </w:r>
      <w:r w:rsidR="0087122A">
        <w:t xml:space="preserve">s the United States </w:t>
      </w:r>
      <w:r w:rsidR="00195A05">
        <w:t xml:space="preserve">was not regularly represented at the political level on </w:t>
      </w:r>
      <w:r w:rsidR="0087122A">
        <w:t>the</w:t>
      </w:r>
      <w:r w:rsidR="00195A05">
        <w:t xml:space="preserve"> c</w:t>
      </w:r>
      <w:r w:rsidR="0087122A">
        <w:t xml:space="preserve">ouncil, </w:t>
      </w:r>
      <w:r w:rsidR="00195A05">
        <w:t xml:space="preserve">Bliss enjoyed a more </w:t>
      </w:r>
      <w:r w:rsidR="0087122A">
        <w:t xml:space="preserve">enhanced </w:t>
      </w:r>
      <w:r w:rsidR="00195A05">
        <w:t xml:space="preserve">role than those of </w:t>
      </w:r>
      <w:r w:rsidR="0087122A">
        <w:t>his peers</w:t>
      </w:r>
      <w:r w:rsidR="00195A05">
        <w:t xml:space="preserve">, gaining traction in </w:t>
      </w:r>
      <w:r w:rsidR="0087122A">
        <w:t xml:space="preserve">allied councils in Europe and </w:t>
      </w:r>
      <w:r w:rsidR="00195A05">
        <w:t>an attentive readership for hi</w:t>
      </w:r>
      <w:r w:rsidR="0087122A">
        <w:t xml:space="preserve">s reports back in Washington.  At the war’s end he was appointed an American plenipotentiary to the peace conference, so potentially acquiring an influence greater than that of either Foch or Henry Wilson. </w:t>
      </w:r>
      <w:r w:rsidR="00195A05">
        <w:t xml:space="preserve">However, his views </w:t>
      </w:r>
      <w:r w:rsidR="00E132FA">
        <w:t xml:space="preserve">now merely </w:t>
      </w:r>
      <w:r w:rsidR="00195A05">
        <w:t>echoe</w:t>
      </w:r>
      <w:r w:rsidR="00E132FA">
        <w:t>d</w:t>
      </w:r>
      <w:r w:rsidR="00195A05">
        <w:t xml:space="preserve"> Woodrow Wilson’s thinking, </w:t>
      </w:r>
      <w:r w:rsidR="00E132FA">
        <w:t xml:space="preserve">rather than supplemented </w:t>
      </w:r>
      <w:r w:rsidR="00195A05">
        <w:t>it: he called for a rapid conclusion to the peace settlement and swift disarmament</w:t>
      </w:r>
      <w:r w:rsidR="00800C3A">
        <w:t xml:space="preserve">, not for the elevation of strategy in </w:t>
      </w:r>
      <w:proofErr w:type="spellStart"/>
      <w:r w:rsidR="00800C3A">
        <w:t>peacemaking</w:t>
      </w:r>
      <w:proofErr w:type="spellEnd"/>
      <w:r w:rsidR="00195A05">
        <w:t xml:space="preserve">.  The president </w:t>
      </w:r>
      <w:r w:rsidR="00041380">
        <w:t xml:space="preserve">spoke to him only five times during the conference </w:t>
      </w:r>
      <w:r w:rsidR="00195A05">
        <w:t xml:space="preserve">and much of </w:t>
      </w:r>
      <w:r w:rsidR="00E132FA">
        <w:t xml:space="preserve">Bliss’s </w:t>
      </w:r>
      <w:r w:rsidR="00195A05">
        <w:t>time in Paris seems to have been spent in sorting out hotel bookings for his country’s delegation.</w:t>
      </w:r>
      <w:r w:rsidR="00041380">
        <w:rPr>
          <w:rStyle w:val="FootnoteReference"/>
        </w:rPr>
        <w:footnoteReference w:id="51"/>
      </w:r>
      <w:r w:rsidR="0087122A">
        <w:t xml:space="preserve"> </w:t>
      </w:r>
    </w:p>
    <w:p w14:paraId="24626527" w14:textId="405428A1" w:rsidR="00522B62" w:rsidRDefault="00800C3A" w:rsidP="009B24C2">
      <w:pPr>
        <w:spacing w:line="480" w:lineRule="auto"/>
        <w:ind w:firstLine="720"/>
      </w:pPr>
      <w:r>
        <w:t xml:space="preserve">The tendency has been to see the ruptures in civil-military relations after 1918 in traditional terms and to cast Henry Wilson and Foch as ‘men on horseback’. The pre-1914 histories of both Britain and France confirmed the trajectory of soldiers who did not limit their aspirations in conformity with democratic norms. Wilson’s central role in the Ulster crisis of 1914 found its reflection in </w:t>
      </w:r>
      <w:r w:rsidR="001F4019">
        <w:t xml:space="preserve">April </w:t>
      </w:r>
      <w:r>
        <w:t xml:space="preserve">1920, when </w:t>
      </w:r>
      <w:r w:rsidR="001F4019">
        <w:t>Sir William Tyrell of the Foreign Office likened him to Ludendorff.</w:t>
      </w:r>
      <w:r w:rsidR="001F4019">
        <w:rPr>
          <w:rStyle w:val="FootnoteReference"/>
        </w:rPr>
        <w:footnoteReference w:id="52"/>
      </w:r>
      <w:r w:rsidR="001F4019">
        <w:t xml:space="preserve"> In 1921-22 the question of Ireland again </w:t>
      </w:r>
      <w:r w:rsidR="00E132FA">
        <w:t xml:space="preserve">undermined </w:t>
      </w:r>
      <w:r w:rsidR="001F4019">
        <w:t xml:space="preserve">the </w:t>
      </w:r>
      <w:r w:rsidR="00E132FA">
        <w:t>British government</w:t>
      </w:r>
      <w:r w:rsidR="00B77650">
        <w:t>’</w:t>
      </w:r>
      <w:r w:rsidR="00E132FA">
        <w:t xml:space="preserve">s dealings </w:t>
      </w:r>
      <w:r w:rsidR="001F4019">
        <w:t>with its general staff.  Bernard Ash</w:t>
      </w:r>
      <w:r w:rsidR="00E132FA">
        <w:t xml:space="preserve"> called his biography </w:t>
      </w:r>
      <w:r w:rsidR="001F4019">
        <w:t>of Wilson</w:t>
      </w:r>
      <w:r w:rsidR="00E132FA">
        <w:t xml:space="preserve">, published in 1968, </w:t>
      </w:r>
      <w:r w:rsidR="001F4019">
        <w:rPr>
          <w:u w:val="single"/>
        </w:rPr>
        <w:t>The lost dictator</w:t>
      </w:r>
      <w:r w:rsidR="001F4019">
        <w:t xml:space="preserve">. Eight years </w:t>
      </w:r>
      <w:r w:rsidR="00AB562F">
        <w:t xml:space="preserve">earlier, in </w:t>
      </w:r>
      <w:r w:rsidR="00AB562F">
        <w:rPr>
          <w:u w:val="single"/>
        </w:rPr>
        <w:t>Foch vs Clemenceau</w:t>
      </w:r>
      <w:r w:rsidR="00AB562F">
        <w:t xml:space="preserve">, </w:t>
      </w:r>
      <w:r w:rsidR="001F4019">
        <w:t>J. C. King, an American academic</w:t>
      </w:r>
      <w:r w:rsidR="00522B62">
        <w:t xml:space="preserve">, </w:t>
      </w:r>
      <w:r w:rsidR="00E132FA">
        <w:t xml:space="preserve">studied </w:t>
      </w:r>
      <w:r w:rsidR="00522B62">
        <w:t>the breakdown of their relationship in 1918-19</w:t>
      </w:r>
      <w:r w:rsidR="00E132FA">
        <w:t xml:space="preserve"> and presented </w:t>
      </w:r>
      <w:r w:rsidR="00522B62">
        <w:t xml:space="preserve">Foch as a direct military challenge to the predominance of the civil power.  However, </w:t>
      </w:r>
      <w:r w:rsidR="00E132FA">
        <w:t xml:space="preserve">for all his frustrations, </w:t>
      </w:r>
      <w:r w:rsidR="00522B62">
        <w:t xml:space="preserve">Foch never orchestrated a coup.  Like Wilson, he saw his insubordination as an expression of strategic wisdom rather than of political impropriety. It was Clemenceau, the </w:t>
      </w:r>
      <w:proofErr w:type="spellStart"/>
      <w:r w:rsidR="00522B62">
        <w:t>Dreyfusard</w:t>
      </w:r>
      <w:proofErr w:type="spellEnd"/>
      <w:r w:rsidR="00522B62">
        <w:t>, the socialist schooled in the threat which the army posed to the Third Republic, who saw Foch as a potential Boulanger.</w:t>
      </w:r>
    </w:p>
    <w:p w14:paraId="40027DA7" w14:textId="5E1FBFF6" w:rsidR="00066536" w:rsidRDefault="00522B62" w:rsidP="009B24C2">
      <w:pPr>
        <w:spacing w:line="480" w:lineRule="auto"/>
        <w:ind w:firstLine="720"/>
      </w:pPr>
      <w:r>
        <w:t xml:space="preserve">The breakdown in civil-military relations after November 1918 was catastrophic for the peacemakers.  They lacked the military instrument with which to impose the terms which they planned on maps in Paris or negotiated in smoke-filled rooms distant from the realities on the ground. By contrast those who united civil and military </w:t>
      </w:r>
      <w:r w:rsidR="00066536">
        <w:t xml:space="preserve">power were able to settle the frontiers of eastern and central Europe on their own terms.  Ataturk, the former Mustafa Kemal, embodied this success, creating a form of victory for Turkey from the embers of Ottoman defeat. There were others: Pilsudski in Poland, Mannerheim in Finland and Trotsky in Russia.  They were </w:t>
      </w:r>
      <w:r w:rsidR="00AB562F">
        <w:t xml:space="preserve">also </w:t>
      </w:r>
      <w:r w:rsidR="00066536">
        <w:t xml:space="preserve">to be found among the allies: Gabriele </w:t>
      </w:r>
      <w:proofErr w:type="spellStart"/>
      <w:r w:rsidR="00066536">
        <w:t>d’Annunzio</w:t>
      </w:r>
      <w:proofErr w:type="spellEnd"/>
      <w:r w:rsidR="00066536">
        <w:t xml:space="preserve"> succeeded in fulfilling Ital</w:t>
      </w:r>
      <w:r w:rsidR="00F04682">
        <w:t xml:space="preserve">ians’ </w:t>
      </w:r>
      <w:r w:rsidR="00066536">
        <w:t xml:space="preserve">ambitions in Fiume with the support of </w:t>
      </w:r>
      <w:r w:rsidR="00F04682">
        <w:t>the army and the complicity of A</w:t>
      </w:r>
      <w:r w:rsidR="00066536">
        <w:t>rmando Diaz, Italy’s chief</w:t>
      </w:r>
      <w:r w:rsidR="00AB562F">
        <w:t xml:space="preserve"> of staff</w:t>
      </w:r>
      <w:r w:rsidR="00066536">
        <w:t>.</w:t>
      </w:r>
      <w:r w:rsidR="00F04682">
        <w:rPr>
          <w:rStyle w:val="FootnoteReference"/>
        </w:rPr>
        <w:footnoteReference w:id="53"/>
      </w:r>
      <w:r w:rsidR="00066536">
        <w:t xml:space="preserve"> </w:t>
      </w:r>
    </w:p>
    <w:p w14:paraId="19C1D95A" w14:textId="77777777" w:rsidR="00F64546" w:rsidRDefault="00066536" w:rsidP="009B24C2">
      <w:pPr>
        <w:spacing w:line="480" w:lineRule="auto"/>
        <w:ind w:firstLine="720"/>
      </w:pPr>
      <w:r>
        <w:t xml:space="preserve">Ending the First World War proved harder than beginning it, but the difficulties and complexities were in many respects self-imposed. By 1918 the ‘Big Four’ knew how to integrate civil and military effects in order to shape strategy.  By 1919, in their wish to celebrate the peace before they had made it, they forgot the need to use the tools of strategy, preferring the diplomacy of peace when there was too little opportunity for peace to work. </w:t>
      </w:r>
    </w:p>
    <w:p w14:paraId="372BD703" w14:textId="08F9A33E" w:rsidR="009C648C" w:rsidRDefault="00F64546" w:rsidP="009B24C2">
      <w:pPr>
        <w:spacing w:line="480" w:lineRule="auto"/>
        <w:ind w:firstLine="720"/>
      </w:pPr>
      <w:r>
        <w:t xml:space="preserve">That this happened was not due to any narrowing of the conception of strategy.  The events of 1918-23 only served to reinforce the idea that strategy was the use of war for the purposes of policy, as both Sir William Robertson and Henri </w:t>
      </w:r>
      <w:proofErr w:type="spellStart"/>
      <w:r>
        <w:t>Mordacq</w:t>
      </w:r>
      <w:proofErr w:type="spellEnd"/>
      <w:r>
        <w:t xml:space="preserve"> among others stressed. Nor was it necessarily the consequence of the collapse of the institutions which had worked so effectively to coordinate allied strategy in 1917-18. The Supreme War Council continued to exist until at least February 1921, with the </w:t>
      </w:r>
      <w:r w:rsidR="00AB562F">
        <w:t>P</w:t>
      </w:r>
      <w:r>
        <w:t xml:space="preserve">ermanent </w:t>
      </w:r>
      <w:r w:rsidR="00AB562F">
        <w:t>M</w:t>
      </w:r>
      <w:r>
        <w:t xml:space="preserve">ilitary </w:t>
      </w:r>
      <w:r w:rsidR="00AB562F">
        <w:t>R</w:t>
      </w:r>
      <w:r>
        <w:t>epresentatives meeting on a regular basis. Instead what occurred shows the power of individuals to undermine good concepts and sound institutions. The fashion was then</w:t>
      </w:r>
      <w:r w:rsidR="0046269B">
        <w:t>,</w:t>
      </w:r>
      <w:r>
        <w:t xml:space="preserve"> and has been since</w:t>
      </w:r>
      <w:r w:rsidR="0046269B">
        <w:t>,</w:t>
      </w:r>
      <w:r>
        <w:t xml:space="preserve"> to blame Foch and Henry Wilson; in reality we should look to Clemenceau, Lloyd George and the man Henry Wilson called ‘his cousin’, Woodrow Wilson</w:t>
      </w:r>
      <w:r w:rsidR="0046269B">
        <w:t xml:space="preserve">.  </w:t>
      </w:r>
      <w:r w:rsidR="00AB562F">
        <w:t xml:space="preserve">The president’s </w:t>
      </w:r>
      <w:r w:rsidR="009C648C">
        <w:t xml:space="preserve">long-term vision for a new international order, based on the League of Nations, discounted the role of war before peace had been secured, and </w:t>
      </w:r>
      <w:r w:rsidR="0046269B">
        <w:t xml:space="preserve">Wilsonian </w:t>
      </w:r>
      <w:r w:rsidR="009C648C">
        <w:t>idealism was never tempered by the realism or realities of European politics.</w:t>
      </w:r>
    </w:p>
    <w:p w14:paraId="5CE3E0FB" w14:textId="2BDF7521" w:rsidR="00BC0E46" w:rsidRDefault="009C648C" w:rsidP="009B24C2">
      <w:pPr>
        <w:spacing w:line="480" w:lineRule="auto"/>
        <w:ind w:firstLine="720"/>
      </w:pPr>
      <w:r>
        <w:t xml:space="preserve">In 1943 Major General Sir Frederick Maurice, who had been the Director of Military Operations at the War Office in 1917-18, wrote a short book on </w:t>
      </w:r>
      <w:proofErr w:type="gramStart"/>
      <w:r>
        <w:rPr>
          <w:u w:val="single"/>
        </w:rPr>
        <w:t>The</w:t>
      </w:r>
      <w:proofErr w:type="gramEnd"/>
      <w:r>
        <w:rPr>
          <w:u w:val="single"/>
        </w:rPr>
        <w:t xml:space="preserve"> armistices of 1918</w:t>
      </w:r>
      <w:r>
        <w:t xml:space="preserve"> for the Royal Institute of International Affairs at Chatham House in London.  Among his conclusions was the following: ‘Since armistices are suspensions of hostilities and peace does not come until treaties of peace are ratified, the Allies must maintain for an indefinite period the power to enforce their will on their enemies.</w:t>
      </w:r>
      <w:r w:rsidR="00A90566">
        <w:t>’  He went on: ‘</w:t>
      </w:r>
      <w:r>
        <w:t>If disturbance and unrest are to be avoided on the conclusion of hostilities, the fact should be made clear to the public and to the men and  women serving in the forces of the several allies.’</w:t>
      </w:r>
      <w:r>
        <w:rPr>
          <w:rStyle w:val="FootnoteReference"/>
        </w:rPr>
        <w:footnoteReference w:id="54"/>
      </w:r>
      <w:r>
        <w:t xml:space="preserve"> Two years later</w:t>
      </w:r>
      <w:r w:rsidR="00A90566">
        <w:t>, the allie</w:t>
      </w:r>
      <w:r w:rsidR="00AB562F">
        <w:t>s</w:t>
      </w:r>
      <w:r w:rsidR="00A90566">
        <w:t xml:space="preserve"> did not repeat the mistakes of 1918.</w:t>
      </w:r>
      <w:r w:rsidR="00F64546">
        <w:t xml:space="preserve"> </w:t>
      </w:r>
      <w:r w:rsidR="00522B62">
        <w:t xml:space="preserve"> </w:t>
      </w:r>
      <w:r w:rsidR="001F4019">
        <w:t xml:space="preserve"> </w:t>
      </w:r>
    </w:p>
    <w:sectPr w:rsidR="00BC0E4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7103C" w14:textId="77777777" w:rsidR="007B2F6B" w:rsidRDefault="007B2F6B" w:rsidP="00482FEB">
      <w:pPr>
        <w:spacing w:after="0" w:line="240" w:lineRule="auto"/>
      </w:pPr>
      <w:r>
        <w:separator/>
      </w:r>
    </w:p>
  </w:endnote>
  <w:endnote w:type="continuationSeparator" w:id="0">
    <w:p w14:paraId="6C441997" w14:textId="77777777" w:rsidR="007B2F6B" w:rsidRDefault="007B2F6B" w:rsidP="0048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18DAD" w14:textId="77777777" w:rsidR="00E304CC" w:rsidRDefault="00E304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9C1EE" w14:textId="77777777" w:rsidR="00E304CC" w:rsidRDefault="00E304C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CFF94" w14:textId="77777777" w:rsidR="00E304CC" w:rsidRDefault="00E304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BE80A" w14:textId="77777777" w:rsidR="007B2F6B" w:rsidRDefault="007B2F6B" w:rsidP="00482FEB">
      <w:pPr>
        <w:spacing w:after="0" w:line="240" w:lineRule="auto"/>
      </w:pPr>
      <w:r>
        <w:separator/>
      </w:r>
    </w:p>
  </w:footnote>
  <w:footnote w:type="continuationSeparator" w:id="0">
    <w:p w14:paraId="6A172D44" w14:textId="77777777" w:rsidR="007B2F6B" w:rsidRDefault="007B2F6B" w:rsidP="00482FEB">
      <w:pPr>
        <w:spacing w:after="0" w:line="240" w:lineRule="auto"/>
      </w:pPr>
      <w:r>
        <w:continuationSeparator/>
      </w:r>
    </w:p>
  </w:footnote>
  <w:footnote w:id="1">
    <w:p w14:paraId="27B4085D" w14:textId="16948183" w:rsidR="00E304CC" w:rsidRPr="00482FEB" w:rsidRDefault="00E304CC">
      <w:pPr>
        <w:pStyle w:val="FootnoteText"/>
        <w:rPr>
          <w:u w:val="single"/>
        </w:rPr>
      </w:pPr>
      <w:r>
        <w:rPr>
          <w:rStyle w:val="FootnoteReference"/>
        </w:rPr>
        <w:footnoteRef/>
      </w:r>
      <w:r>
        <w:t xml:space="preserve"> Dallas D. Irvine, ‘The origins of capital staffs’, </w:t>
      </w:r>
      <w:r>
        <w:rPr>
          <w:u w:val="single"/>
        </w:rPr>
        <w:t>Journal of Modern History</w:t>
      </w:r>
      <w:r>
        <w:t>, vol 10 (1938), pp 161-79</w:t>
      </w:r>
      <w:r>
        <w:rPr>
          <w:u w:val="single"/>
        </w:rPr>
        <w:t xml:space="preserve"> </w:t>
      </w:r>
    </w:p>
  </w:footnote>
  <w:footnote w:id="2">
    <w:p w14:paraId="1FEB2D03" w14:textId="41B9B6DC" w:rsidR="00E304CC" w:rsidRPr="00A66AED" w:rsidRDefault="00E304CC">
      <w:pPr>
        <w:pStyle w:val="FootnoteText"/>
      </w:pPr>
      <w:r>
        <w:rPr>
          <w:rStyle w:val="FootnoteReference"/>
        </w:rPr>
        <w:footnoteRef/>
      </w:r>
      <w:r>
        <w:t xml:space="preserve"> Arden </w:t>
      </w:r>
      <w:proofErr w:type="spellStart"/>
      <w:r>
        <w:t>Bucholz</w:t>
      </w:r>
      <w:proofErr w:type="spellEnd"/>
      <w:r>
        <w:t xml:space="preserve">, </w:t>
      </w:r>
      <w:proofErr w:type="spellStart"/>
      <w:r>
        <w:rPr>
          <w:u w:val="single"/>
        </w:rPr>
        <w:t>Moltke</w:t>
      </w:r>
      <w:proofErr w:type="spellEnd"/>
      <w:r>
        <w:rPr>
          <w:u w:val="single"/>
        </w:rPr>
        <w:t>, Schlieffen and Prussian war planning</w:t>
      </w:r>
      <w:r>
        <w:t xml:space="preserve"> (New York, 1991), draws out these implications</w:t>
      </w:r>
    </w:p>
  </w:footnote>
  <w:footnote w:id="3">
    <w:p w14:paraId="07B47BA9" w14:textId="7E79FE41" w:rsidR="00E304CC" w:rsidRPr="000B3324" w:rsidRDefault="00E304CC">
      <w:pPr>
        <w:pStyle w:val="FootnoteText"/>
        <w:rPr>
          <w:u w:val="single"/>
        </w:rPr>
      </w:pPr>
      <w:r>
        <w:rPr>
          <w:rStyle w:val="FootnoteReference"/>
        </w:rPr>
        <w:footnoteRef/>
      </w:r>
      <w:r>
        <w:t xml:space="preserve"> Peter E, Wright, </w:t>
      </w:r>
      <w:r>
        <w:rPr>
          <w:u w:val="single"/>
        </w:rPr>
        <w:t>At the Supreme War Council</w:t>
      </w:r>
      <w:r>
        <w:t xml:space="preserve"> (London, 1921), pp 95, 100-5, as adapted by Walter Lippmann; </w:t>
      </w:r>
      <w:r>
        <w:rPr>
          <w:u w:val="single"/>
        </w:rPr>
        <w:t>Public opinion</w:t>
      </w:r>
      <w:r>
        <w:t xml:space="preserve"> (</w:t>
      </w:r>
      <w:r w:rsidR="003247A9">
        <w:t>New York</w:t>
      </w:r>
      <w:r>
        <w:t xml:space="preserve">, 1922), p. 152 </w:t>
      </w:r>
      <w:r>
        <w:rPr>
          <w:u w:val="single"/>
        </w:rPr>
        <w:t xml:space="preserve"> </w:t>
      </w:r>
    </w:p>
  </w:footnote>
  <w:footnote w:id="4">
    <w:p w14:paraId="3E0BD1B4" w14:textId="6E42C3E4" w:rsidR="00E304CC" w:rsidRPr="00A37C5F" w:rsidRDefault="00E304CC">
      <w:pPr>
        <w:pStyle w:val="FootnoteText"/>
      </w:pPr>
      <w:r>
        <w:rPr>
          <w:rStyle w:val="FootnoteReference"/>
        </w:rPr>
        <w:footnoteRef/>
      </w:r>
      <w:r>
        <w:t xml:space="preserve"> F</w:t>
      </w:r>
      <w:r w:rsidR="00A37C5F">
        <w:t>erdinand F</w:t>
      </w:r>
      <w:r>
        <w:t>och</w:t>
      </w:r>
      <w:r w:rsidR="00A37C5F">
        <w:t xml:space="preserve">, </w:t>
      </w:r>
      <w:r w:rsidR="00A37C5F">
        <w:rPr>
          <w:u w:val="single"/>
        </w:rPr>
        <w:t>The principles of war</w:t>
      </w:r>
      <w:r w:rsidR="00A37C5F">
        <w:t>, trans H. Belloc (London, 1918), p. 43</w:t>
      </w:r>
    </w:p>
  </w:footnote>
  <w:footnote w:id="5">
    <w:p w14:paraId="765E2100" w14:textId="7923BF44" w:rsidR="00E304CC" w:rsidRPr="00826350" w:rsidRDefault="00E304CC">
      <w:pPr>
        <w:pStyle w:val="FootnoteText"/>
      </w:pPr>
      <w:r>
        <w:rPr>
          <w:rStyle w:val="FootnoteReference"/>
        </w:rPr>
        <w:footnoteRef/>
      </w:r>
      <w:r>
        <w:t xml:space="preserve"> Carl von Clausewitz, </w:t>
      </w:r>
      <w:r>
        <w:rPr>
          <w:u w:val="single"/>
        </w:rPr>
        <w:t>On War</w:t>
      </w:r>
      <w:r>
        <w:t xml:space="preserve">, ed and trans Michael Howard and Peter </w:t>
      </w:r>
      <w:proofErr w:type="spellStart"/>
      <w:r>
        <w:t>Paret</w:t>
      </w:r>
      <w:proofErr w:type="spellEnd"/>
      <w:r>
        <w:t xml:space="preserve"> (Princeton, 1976), p. 177 </w:t>
      </w:r>
    </w:p>
  </w:footnote>
  <w:footnote w:id="6">
    <w:p w14:paraId="373C7D28" w14:textId="1B056E86" w:rsidR="00E304CC" w:rsidRPr="00A37C5F" w:rsidRDefault="00E304CC">
      <w:pPr>
        <w:pStyle w:val="FootnoteText"/>
      </w:pPr>
      <w:r>
        <w:rPr>
          <w:rStyle w:val="FootnoteReference"/>
        </w:rPr>
        <w:footnoteRef/>
      </w:r>
      <w:r>
        <w:t xml:space="preserve"> William Robertson</w:t>
      </w:r>
      <w:r w:rsidR="00A37C5F">
        <w:t xml:space="preserve">, </w:t>
      </w:r>
      <w:r w:rsidR="00A37C5F">
        <w:rPr>
          <w:u w:val="single"/>
        </w:rPr>
        <w:t>Soldiers and statesmen 1814-1918</w:t>
      </w:r>
      <w:r w:rsidR="00A37C5F">
        <w:t xml:space="preserve"> (2 vols, London, 1926), vol 2, pp 300-1</w:t>
      </w:r>
    </w:p>
  </w:footnote>
  <w:footnote w:id="7">
    <w:p w14:paraId="4ACCA91E" w14:textId="57E292E5" w:rsidR="00E304CC" w:rsidRDefault="00E304CC">
      <w:pPr>
        <w:pStyle w:val="FootnoteText"/>
      </w:pPr>
      <w:r>
        <w:rPr>
          <w:rStyle w:val="FootnoteReference"/>
        </w:rPr>
        <w:footnoteRef/>
      </w:r>
      <w:r>
        <w:t xml:space="preserve"> Henri </w:t>
      </w:r>
      <w:proofErr w:type="spellStart"/>
      <w:r>
        <w:t>Mordacq</w:t>
      </w:r>
      <w:proofErr w:type="spellEnd"/>
      <w:r>
        <w:t xml:space="preserve">, </w:t>
      </w:r>
      <w:r>
        <w:rPr>
          <w:u w:val="single"/>
        </w:rPr>
        <w:t xml:space="preserve">La </w:t>
      </w:r>
      <w:proofErr w:type="spellStart"/>
      <w:r>
        <w:rPr>
          <w:u w:val="single"/>
        </w:rPr>
        <w:t>stratégie</w:t>
      </w:r>
      <w:proofErr w:type="spellEnd"/>
      <w:r>
        <w:rPr>
          <w:u w:val="single"/>
        </w:rPr>
        <w:t xml:space="preserve">: </w:t>
      </w:r>
      <w:proofErr w:type="spellStart"/>
      <w:r>
        <w:rPr>
          <w:u w:val="single"/>
        </w:rPr>
        <w:t>historique</w:t>
      </w:r>
      <w:proofErr w:type="spellEnd"/>
      <w:r>
        <w:rPr>
          <w:u w:val="single"/>
        </w:rPr>
        <w:t>, evolution</w:t>
      </w:r>
      <w:r>
        <w:t xml:space="preserve"> (Paris, 1912); </w:t>
      </w:r>
      <w:proofErr w:type="spellStart"/>
      <w:r>
        <w:t>Mordacq</w:t>
      </w:r>
      <w:proofErr w:type="spellEnd"/>
      <w:r>
        <w:t xml:space="preserve">, </w:t>
      </w:r>
      <w:proofErr w:type="spellStart"/>
      <w:r>
        <w:rPr>
          <w:u w:val="single"/>
        </w:rPr>
        <w:t>Politique</w:t>
      </w:r>
      <w:proofErr w:type="spellEnd"/>
      <w:r>
        <w:rPr>
          <w:u w:val="single"/>
        </w:rPr>
        <w:t xml:space="preserve"> et </w:t>
      </w:r>
      <w:proofErr w:type="spellStart"/>
      <w:r>
        <w:rPr>
          <w:u w:val="single"/>
        </w:rPr>
        <w:t>stratégie</w:t>
      </w:r>
      <w:proofErr w:type="spellEnd"/>
      <w:r>
        <w:rPr>
          <w:u w:val="single"/>
        </w:rPr>
        <w:t xml:space="preserve"> </w:t>
      </w:r>
      <w:proofErr w:type="spellStart"/>
      <w:r>
        <w:rPr>
          <w:u w:val="single"/>
        </w:rPr>
        <w:t>dans</w:t>
      </w:r>
      <w:proofErr w:type="spellEnd"/>
      <w:r>
        <w:rPr>
          <w:u w:val="single"/>
        </w:rPr>
        <w:t xml:space="preserve"> </w:t>
      </w:r>
      <w:proofErr w:type="spellStart"/>
      <w:r>
        <w:rPr>
          <w:u w:val="single"/>
        </w:rPr>
        <w:t>une</w:t>
      </w:r>
      <w:proofErr w:type="spellEnd"/>
      <w:r>
        <w:rPr>
          <w:u w:val="single"/>
        </w:rPr>
        <w:t xml:space="preserve"> </w:t>
      </w:r>
      <w:proofErr w:type="spellStart"/>
      <w:r>
        <w:rPr>
          <w:u w:val="single"/>
        </w:rPr>
        <w:t>démocratie</w:t>
      </w:r>
      <w:proofErr w:type="spellEnd"/>
      <w:r>
        <w:t xml:space="preserve"> (Paris, 1912) </w:t>
      </w:r>
    </w:p>
  </w:footnote>
  <w:footnote w:id="8">
    <w:p w14:paraId="538C095A" w14:textId="7FB7DBB1" w:rsidR="00E304CC" w:rsidRPr="00DF5CB5" w:rsidRDefault="00E304CC">
      <w:pPr>
        <w:pStyle w:val="FootnoteText"/>
      </w:pPr>
      <w:r>
        <w:rPr>
          <w:rStyle w:val="FootnoteReference"/>
        </w:rPr>
        <w:footnoteRef/>
      </w:r>
      <w:r>
        <w:t xml:space="preserve"> Léon Daudet, </w:t>
      </w:r>
      <w:r>
        <w:rPr>
          <w:u w:val="single"/>
        </w:rPr>
        <w:t xml:space="preserve">La guerre </w:t>
      </w:r>
      <w:proofErr w:type="spellStart"/>
      <w:r>
        <w:rPr>
          <w:u w:val="single"/>
        </w:rPr>
        <w:t>totale</w:t>
      </w:r>
      <w:proofErr w:type="spellEnd"/>
      <w:r>
        <w:t xml:space="preserve"> (Paris, 1918); Daudet dated his conclusion 27 March 1918 and the book was published in April</w:t>
      </w:r>
    </w:p>
  </w:footnote>
  <w:footnote w:id="9">
    <w:p w14:paraId="651CAD01" w14:textId="77777777" w:rsidR="00E304CC" w:rsidRPr="00F53854" w:rsidRDefault="00E304CC" w:rsidP="005970BF">
      <w:pPr>
        <w:pStyle w:val="FootnoteText"/>
      </w:pPr>
      <w:r>
        <w:rPr>
          <w:rStyle w:val="FootnoteReference"/>
        </w:rPr>
        <w:footnoteRef/>
      </w:r>
      <w:r>
        <w:t xml:space="preserve"> Jean-Christophe </w:t>
      </w:r>
      <w:proofErr w:type="spellStart"/>
      <w:r>
        <w:t>Notin</w:t>
      </w:r>
      <w:proofErr w:type="spellEnd"/>
      <w:r>
        <w:t xml:space="preserve">, </w:t>
      </w:r>
      <w:r>
        <w:rPr>
          <w:u w:val="single"/>
        </w:rPr>
        <w:t>Foch</w:t>
      </w:r>
      <w:r>
        <w:t xml:space="preserve"> (Paris, 2008), pp 57-60</w:t>
      </w:r>
    </w:p>
  </w:footnote>
  <w:footnote w:id="10">
    <w:p w14:paraId="6EEC2364" w14:textId="2536BD11" w:rsidR="00E304CC" w:rsidRPr="00090B0D" w:rsidRDefault="00E304CC">
      <w:pPr>
        <w:pStyle w:val="FootnoteText"/>
      </w:pPr>
      <w:r>
        <w:rPr>
          <w:rStyle w:val="FootnoteReference"/>
        </w:rPr>
        <w:footnoteRef/>
      </w:r>
      <w:r>
        <w:t xml:space="preserve"> Jean-Baptiste </w:t>
      </w:r>
      <w:proofErr w:type="spellStart"/>
      <w:r>
        <w:t>Duroselle</w:t>
      </w:r>
      <w:proofErr w:type="spellEnd"/>
      <w:r>
        <w:t xml:space="preserve">, </w:t>
      </w:r>
      <w:r>
        <w:rPr>
          <w:u w:val="single"/>
        </w:rPr>
        <w:t>Clemenceau</w:t>
      </w:r>
      <w:r>
        <w:t xml:space="preserve"> (Paris, 1988), pp 690-2</w:t>
      </w:r>
    </w:p>
  </w:footnote>
  <w:footnote w:id="11">
    <w:p w14:paraId="1D6C4473" w14:textId="4C9AC455" w:rsidR="00E304CC" w:rsidRPr="00C92B11" w:rsidRDefault="00E304CC">
      <w:pPr>
        <w:pStyle w:val="FootnoteText"/>
        <w:rPr>
          <w:u w:val="single"/>
        </w:rPr>
      </w:pPr>
      <w:r>
        <w:rPr>
          <w:rStyle w:val="FootnoteReference"/>
        </w:rPr>
        <w:footnoteRef/>
      </w:r>
      <w:r>
        <w:t xml:space="preserve"> David Woodward, </w:t>
      </w:r>
      <w:r>
        <w:rPr>
          <w:u w:val="single"/>
        </w:rPr>
        <w:t>Lloyd George and the generals</w:t>
      </w:r>
      <w:r>
        <w:t xml:space="preserve"> (East Brunswick NJ, 1983) </w:t>
      </w:r>
      <w:proofErr w:type="spellStart"/>
      <w:r>
        <w:t>esp</w:t>
      </w:r>
      <w:proofErr w:type="spellEnd"/>
      <w:r>
        <w:t xml:space="preserve"> pp 145-53; 231-2; on the erosion of Haig’s power, see too J. P. Harris, </w:t>
      </w:r>
      <w:r>
        <w:rPr>
          <w:u w:val="single"/>
        </w:rPr>
        <w:t>Douglas Haig and the First World War</w:t>
      </w:r>
      <w:r>
        <w:t xml:space="preserve"> (Cambridge, 2008), </w:t>
      </w:r>
      <w:proofErr w:type="spellStart"/>
      <w:r>
        <w:t>eg</w:t>
      </w:r>
      <w:proofErr w:type="spellEnd"/>
      <w:r>
        <w:t xml:space="preserve"> p. 461-4</w:t>
      </w:r>
      <w:r>
        <w:rPr>
          <w:u w:val="single"/>
        </w:rPr>
        <w:t xml:space="preserve"> </w:t>
      </w:r>
    </w:p>
  </w:footnote>
  <w:footnote w:id="12">
    <w:p w14:paraId="7CB6BCEC" w14:textId="5EA5F378" w:rsidR="00E304CC" w:rsidRDefault="00E304CC">
      <w:pPr>
        <w:pStyle w:val="FootnoteText"/>
      </w:pPr>
      <w:r>
        <w:rPr>
          <w:rStyle w:val="FootnoteReference"/>
        </w:rPr>
        <w:footnoteRef/>
      </w:r>
      <w:r>
        <w:t xml:space="preserve"> </w:t>
      </w:r>
      <w:r w:rsidR="00F248D7">
        <w:t xml:space="preserve">Henri </w:t>
      </w:r>
      <w:proofErr w:type="spellStart"/>
      <w:r>
        <w:t>Mordacq</w:t>
      </w:r>
      <w:proofErr w:type="spellEnd"/>
      <w:r>
        <w:t xml:space="preserve">, </w:t>
      </w:r>
      <w:r w:rsidR="00F248D7">
        <w:rPr>
          <w:u w:val="single"/>
        </w:rPr>
        <w:t xml:space="preserve">Le </w:t>
      </w:r>
      <w:proofErr w:type="spellStart"/>
      <w:r w:rsidR="00F248D7">
        <w:rPr>
          <w:u w:val="single"/>
        </w:rPr>
        <w:t>ministère</w:t>
      </w:r>
      <w:proofErr w:type="spellEnd"/>
      <w:r w:rsidR="00F248D7">
        <w:rPr>
          <w:u w:val="single"/>
        </w:rPr>
        <w:t xml:space="preserve"> Clemenceau: le journal d’un </w:t>
      </w:r>
      <w:proofErr w:type="spellStart"/>
      <w:r w:rsidR="00F248D7">
        <w:rPr>
          <w:u w:val="single"/>
        </w:rPr>
        <w:t>témoin</w:t>
      </w:r>
      <w:proofErr w:type="spellEnd"/>
      <w:r w:rsidR="00F248D7">
        <w:t xml:space="preserve"> (4 </w:t>
      </w:r>
      <w:proofErr w:type="spellStart"/>
      <w:r w:rsidR="00F248D7">
        <w:t>vols</w:t>
      </w:r>
      <w:proofErr w:type="spellEnd"/>
      <w:r w:rsidR="00F248D7">
        <w:t>, Paris, 1930-31), vol 3, p. 29</w:t>
      </w:r>
      <w:r>
        <w:t xml:space="preserve"> </w:t>
      </w:r>
    </w:p>
  </w:footnote>
  <w:footnote w:id="13">
    <w:p w14:paraId="6AB1AF7D" w14:textId="398E6133" w:rsidR="00E304CC" w:rsidRPr="00447004" w:rsidRDefault="00E304CC">
      <w:pPr>
        <w:pStyle w:val="FootnoteText"/>
      </w:pPr>
      <w:r>
        <w:rPr>
          <w:rStyle w:val="FootnoteReference"/>
        </w:rPr>
        <w:footnoteRef/>
      </w:r>
      <w:r>
        <w:t xml:space="preserve"> John Whittam, </w:t>
      </w:r>
      <w:r>
        <w:rPr>
          <w:u w:val="single"/>
        </w:rPr>
        <w:t>The politics of the Italian army</w:t>
      </w:r>
      <w:r>
        <w:t xml:space="preserve"> (London, 1977), p. 206</w:t>
      </w:r>
    </w:p>
  </w:footnote>
  <w:footnote w:id="14">
    <w:p w14:paraId="08E2BB1A" w14:textId="51C33D0C" w:rsidR="00E304CC" w:rsidRPr="00535998" w:rsidRDefault="00E304CC">
      <w:pPr>
        <w:pStyle w:val="FootnoteText"/>
        <w:rPr>
          <w:u w:val="single"/>
        </w:rPr>
      </w:pPr>
      <w:r>
        <w:rPr>
          <w:rStyle w:val="FootnoteReference"/>
        </w:rPr>
        <w:footnoteRef/>
      </w:r>
      <w:r>
        <w:t xml:space="preserve"> John Gooch, </w:t>
      </w:r>
      <w:r>
        <w:rPr>
          <w:u w:val="single"/>
        </w:rPr>
        <w:t>The Italian army and the First World W</w:t>
      </w:r>
      <w:r>
        <w:rPr>
          <w:u w:val="words"/>
        </w:rPr>
        <w:t xml:space="preserve">ar </w:t>
      </w:r>
      <w:r w:rsidRPr="00535998">
        <w:t>(Cambridge, 2014), p. 247</w:t>
      </w:r>
      <w:r>
        <w:t xml:space="preserve">; see also John R. Schneider, </w:t>
      </w:r>
      <w:r>
        <w:rPr>
          <w:u w:val="single"/>
        </w:rPr>
        <w:t>Isonzo: the forgotten sacrifice of the Great War</w:t>
      </w:r>
      <w:r>
        <w:t xml:space="preserve"> (Westport Conn., 2001), pp 261-2</w:t>
      </w:r>
      <w:r>
        <w:rPr>
          <w:u w:val="single"/>
        </w:rPr>
        <w:t xml:space="preserve"> </w:t>
      </w:r>
    </w:p>
  </w:footnote>
  <w:footnote w:id="15">
    <w:p w14:paraId="1B0FB0EC" w14:textId="78CF1F71" w:rsidR="00E304CC" w:rsidRPr="00162991" w:rsidRDefault="00E304CC">
      <w:pPr>
        <w:pStyle w:val="FootnoteText"/>
      </w:pPr>
      <w:r>
        <w:rPr>
          <w:rStyle w:val="FootnoteReference"/>
        </w:rPr>
        <w:footnoteRef/>
      </w:r>
      <w:r>
        <w:t xml:space="preserve"> Meighen McCrae, </w:t>
      </w:r>
      <w:r>
        <w:rPr>
          <w:u w:val="single"/>
        </w:rPr>
        <w:t>Coalition strategy and the end of the First World War: the Supreme War Council and war planning, 1917-1918</w:t>
      </w:r>
      <w:r>
        <w:t xml:space="preserve"> (Cambridge, 2019)</w:t>
      </w:r>
    </w:p>
  </w:footnote>
  <w:footnote w:id="16">
    <w:p w14:paraId="55E8C5EC" w14:textId="6C02DEC9" w:rsidR="00E304CC" w:rsidRDefault="00E304CC">
      <w:pPr>
        <w:pStyle w:val="FootnoteText"/>
      </w:pPr>
      <w:r>
        <w:rPr>
          <w:rStyle w:val="FootnoteReference"/>
        </w:rPr>
        <w:footnoteRef/>
      </w:r>
      <w:r>
        <w:t xml:space="preserve"> John Charteris, </w:t>
      </w:r>
      <w:r>
        <w:rPr>
          <w:u w:val="single"/>
        </w:rPr>
        <w:t>At G.H.Q.</w:t>
      </w:r>
      <w:r>
        <w:t xml:space="preserve"> (London, 1931), p. 317 </w:t>
      </w:r>
    </w:p>
  </w:footnote>
  <w:footnote w:id="17">
    <w:p w14:paraId="0BD09129" w14:textId="63EE737B" w:rsidR="00E304CC" w:rsidRDefault="00E304CC">
      <w:pPr>
        <w:pStyle w:val="FootnoteText"/>
      </w:pPr>
      <w:r>
        <w:rPr>
          <w:rStyle w:val="FootnoteReference"/>
        </w:rPr>
        <w:footnoteRef/>
      </w:r>
      <w:r>
        <w:t xml:space="preserve"> Elizabeth Greenhalgh, </w:t>
      </w:r>
      <w:r>
        <w:rPr>
          <w:u w:val="single"/>
        </w:rPr>
        <w:t>Foch: the forging of a First World War general</w:t>
      </w:r>
      <w:r>
        <w:t xml:space="preserve"> (Cambridge, 2011), p. 465  </w:t>
      </w:r>
    </w:p>
  </w:footnote>
  <w:footnote w:id="18">
    <w:p w14:paraId="38C2528C" w14:textId="791437C7" w:rsidR="00E304CC" w:rsidRPr="00BC0E46" w:rsidRDefault="00E304CC">
      <w:pPr>
        <w:pStyle w:val="FootnoteText"/>
      </w:pPr>
      <w:r>
        <w:rPr>
          <w:rStyle w:val="FootnoteReference"/>
        </w:rPr>
        <w:footnoteRef/>
      </w:r>
      <w:r>
        <w:t xml:space="preserve"> M</w:t>
      </w:r>
      <w:r w:rsidR="00BC0E46">
        <w:t>eighen M</w:t>
      </w:r>
      <w:r>
        <w:t>cCrae,</w:t>
      </w:r>
      <w:r w:rsidR="00BC0E46">
        <w:t xml:space="preserve"> ‘”Ambushed by victory”: Britain, France and American plans to defeat France in 1919’, </w:t>
      </w:r>
      <w:r w:rsidR="00BC0E46">
        <w:rPr>
          <w:u w:val="single"/>
        </w:rPr>
        <w:t>War in History</w:t>
      </w:r>
      <w:r w:rsidR="00BC0E46">
        <w:t>, vol 38, 2019, pp 320-33</w:t>
      </w:r>
    </w:p>
  </w:footnote>
  <w:footnote w:id="19">
    <w:p w14:paraId="180772D0" w14:textId="2AC92D56" w:rsidR="00E304CC" w:rsidRPr="00D05A91" w:rsidRDefault="00E304CC">
      <w:pPr>
        <w:pStyle w:val="FootnoteText"/>
      </w:pPr>
      <w:r>
        <w:rPr>
          <w:rStyle w:val="FootnoteReference"/>
        </w:rPr>
        <w:footnoteRef/>
      </w:r>
      <w:r>
        <w:t xml:space="preserve"> David </w:t>
      </w:r>
      <w:proofErr w:type="spellStart"/>
      <w:r>
        <w:t>Fromkin</w:t>
      </w:r>
      <w:proofErr w:type="spellEnd"/>
      <w:r>
        <w:t xml:space="preserve">, </w:t>
      </w:r>
      <w:r>
        <w:rPr>
          <w:u w:val="single"/>
        </w:rPr>
        <w:t>A peace to end all peace: the fall of the Ottoman empire and the creation of the modern Middle East</w:t>
      </w:r>
      <w:r>
        <w:t xml:space="preserve"> (first pub 1989; New York, 1990), p. 364</w:t>
      </w:r>
    </w:p>
  </w:footnote>
  <w:footnote w:id="20">
    <w:p w14:paraId="68124CE9" w14:textId="5EE3F36F" w:rsidR="00E304CC" w:rsidRPr="009A0286" w:rsidRDefault="00E304CC">
      <w:pPr>
        <w:pStyle w:val="FootnoteText"/>
      </w:pPr>
      <w:r>
        <w:rPr>
          <w:rStyle w:val="FootnoteReference"/>
        </w:rPr>
        <w:footnoteRef/>
      </w:r>
      <w:r>
        <w:t xml:space="preserve"> Greenhalgh, </w:t>
      </w:r>
      <w:r>
        <w:rPr>
          <w:u w:val="single"/>
        </w:rPr>
        <w:t>Foch</w:t>
      </w:r>
      <w:r>
        <w:t>, p. 466</w:t>
      </w:r>
    </w:p>
  </w:footnote>
  <w:footnote w:id="21">
    <w:p w14:paraId="401AA473" w14:textId="131D3E4E" w:rsidR="00E304CC" w:rsidRPr="005447EC" w:rsidRDefault="00E304CC">
      <w:pPr>
        <w:pStyle w:val="FootnoteText"/>
      </w:pPr>
      <w:r>
        <w:rPr>
          <w:rStyle w:val="FootnoteReference"/>
        </w:rPr>
        <w:footnoteRef/>
      </w:r>
      <w:r>
        <w:t xml:space="preserve"> Greenhalgh, </w:t>
      </w:r>
      <w:r>
        <w:rPr>
          <w:u w:val="single"/>
        </w:rPr>
        <w:t>Foch</w:t>
      </w:r>
      <w:r>
        <w:t>, p. 468</w:t>
      </w:r>
    </w:p>
  </w:footnote>
  <w:footnote w:id="22">
    <w:p w14:paraId="0F9A1CCD" w14:textId="39BD2CAB" w:rsidR="00E304CC" w:rsidRDefault="00E304CC">
      <w:pPr>
        <w:pStyle w:val="FootnoteText"/>
      </w:pPr>
      <w:r>
        <w:rPr>
          <w:rStyle w:val="FootnoteReference"/>
        </w:rPr>
        <w:footnoteRef/>
      </w:r>
      <w:r>
        <w:t xml:space="preserve"> </w:t>
      </w:r>
      <w:r w:rsidR="007F419C">
        <w:t xml:space="preserve">Harry D. </w:t>
      </w:r>
      <w:r>
        <w:t>Ru</w:t>
      </w:r>
      <w:r w:rsidR="007F419C">
        <w:t xml:space="preserve">din, </w:t>
      </w:r>
      <w:r w:rsidR="007F419C">
        <w:rPr>
          <w:u w:val="single"/>
        </w:rPr>
        <w:t>Armistice 1918</w:t>
      </w:r>
      <w:r w:rsidR="007F419C">
        <w:t xml:space="preserve"> (New Haven, 1944), </w:t>
      </w:r>
      <w:r w:rsidR="00F248D7">
        <w:t xml:space="preserve">pp 168, 177, 182, </w:t>
      </w:r>
      <w:r w:rsidR="007F419C">
        <w:t>288-9</w:t>
      </w:r>
      <w:r w:rsidR="00F248D7">
        <w:t>, 397</w:t>
      </w:r>
      <w:r w:rsidR="007F419C">
        <w:rPr>
          <w:u w:val="single"/>
        </w:rPr>
        <w:t xml:space="preserve"> </w:t>
      </w:r>
    </w:p>
  </w:footnote>
  <w:footnote w:id="23">
    <w:p w14:paraId="35ECF897" w14:textId="30DE3FEA" w:rsidR="00E304CC" w:rsidRDefault="00E304CC">
      <w:pPr>
        <w:pStyle w:val="FootnoteText"/>
      </w:pPr>
      <w:r>
        <w:rPr>
          <w:rStyle w:val="FootnoteReference"/>
        </w:rPr>
        <w:footnoteRef/>
      </w:r>
      <w:r>
        <w:t xml:space="preserve"> Coleman Phillipson, </w:t>
      </w:r>
      <w:r>
        <w:rPr>
          <w:u w:val="single"/>
        </w:rPr>
        <w:t>Termination of war and treaties of peace</w:t>
      </w:r>
      <w:r>
        <w:t xml:space="preserve"> (London, 1916), p. 62 </w:t>
      </w:r>
    </w:p>
  </w:footnote>
  <w:footnote w:id="24">
    <w:p w14:paraId="5D0805E4" w14:textId="49B8323E" w:rsidR="00E304CC" w:rsidRPr="00904563" w:rsidRDefault="00E304CC">
      <w:pPr>
        <w:pStyle w:val="FootnoteText"/>
      </w:pPr>
      <w:r>
        <w:rPr>
          <w:rStyle w:val="FootnoteReference"/>
        </w:rPr>
        <w:footnoteRef/>
      </w:r>
      <w:r>
        <w:t xml:space="preserve"> Phillips, </w:t>
      </w:r>
      <w:r>
        <w:rPr>
          <w:u w:val="single"/>
        </w:rPr>
        <w:t>Termination of war</w:t>
      </w:r>
      <w:r>
        <w:t>, p.74</w:t>
      </w:r>
    </w:p>
  </w:footnote>
  <w:footnote w:id="25">
    <w:p w14:paraId="008E1BB6" w14:textId="5CB55B35" w:rsidR="00E304CC" w:rsidRPr="00A63896" w:rsidRDefault="00E304CC">
      <w:pPr>
        <w:pStyle w:val="FootnoteText"/>
      </w:pPr>
      <w:r>
        <w:rPr>
          <w:rStyle w:val="FootnoteReference"/>
        </w:rPr>
        <w:footnoteRef/>
      </w:r>
      <w:r>
        <w:t xml:space="preserve"> Albrecht von </w:t>
      </w:r>
      <w:proofErr w:type="spellStart"/>
      <w:r>
        <w:t>Thaer</w:t>
      </w:r>
      <w:proofErr w:type="spellEnd"/>
      <w:r>
        <w:t xml:space="preserve">, </w:t>
      </w:r>
      <w:proofErr w:type="spellStart"/>
      <w:r>
        <w:rPr>
          <w:u w:val="single"/>
        </w:rPr>
        <w:t>Generalstabsdienst</w:t>
      </w:r>
      <w:proofErr w:type="spellEnd"/>
      <w:r>
        <w:rPr>
          <w:u w:val="single"/>
        </w:rPr>
        <w:t xml:space="preserve"> an der Front und in der O.H.L.</w:t>
      </w:r>
      <w:r>
        <w:t xml:space="preserve">, ed Siegfried A. </w:t>
      </w:r>
      <w:proofErr w:type="spellStart"/>
      <w:r>
        <w:t>Kaehler</w:t>
      </w:r>
      <w:proofErr w:type="spellEnd"/>
      <w:r>
        <w:t xml:space="preserve"> (</w:t>
      </w:r>
      <w:proofErr w:type="spellStart"/>
      <w:r>
        <w:t>Göttingen</w:t>
      </w:r>
      <w:proofErr w:type="spellEnd"/>
      <w:r>
        <w:t>, 1958), pp 235-6</w:t>
      </w:r>
    </w:p>
  </w:footnote>
  <w:footnote w:id="26">
    <w:p w14:paraId="257B7F1A" w14:textId="4C048AED" w:rsidR="00E304CC" w:rsidRPr="005F5B19" w:rsidRDefault="00E304CC">
      <w:pPr>
        <w:pStyle w:val="FootnoteText"/>
      </w:pPr>
      <w:r>
        <w:rPr>
          <w:rStyle w:val="FootnoteReference"/>
        </w:rPr>
        <w:footnoteRef/>
      </w:r>
      <w:r>
        <w:t xml:space="preserve"> Max von Baden, </w:t>
      </w:r>
      <w:proofErr w:type="spellStart"/>
      <w:r>
        <w:rPr>
          <w:u w:val="single"/>
        </w:rPr>
        <w:t>Erinnerungen</w:t>
      </w:r>
      <w:proofErr w:type="spellEnd"/>
      <w:r>
        <w:rPr>
          <w:u w:val="single"/>
        </w:rPr>
        <w:t xml:space="preserve"> und </w:t>
      </w:r>
      <w:proofErr w:type="spellStart"/>
      <w:r>
        <w:rPr>
          <w:u w:val="single"/>
        </w:rPr>
        <w:t>Dokumente</w:t>
      </w:r>
      <w:proofErr w:type="spellEnd"/>
      <w:r>
        <w:t xml:space="preserve">, </w:t>
      </w:r>
      <w:proofErr w:type="spellStart"/>
      <w:r>
        <w:t>ed</w:t>
      </w:r>
      <w:proofErr w:type="spellEnd"/>
      <w:r>
        <w:t xml:space="preserve"> </w:t>
      </w:r>
      <w:proofErr w:type="spellStart"/>
      <w:r>
        <w:t>Golo</w:t>
      </w:r>
      <w:proofErr w:type="spellEnd"/>
      <w:r>
        <w:t xml:space="preserve"> Mann and Andreas Burckhardt (Stuttgart, 1968), pp 463, 470</w:t>
      </w:r>
    </w:p>
  </w:footnote>
  <w:footnote w:id="27">
    <w:p w14:paraId="1828BE9C" w14:textId="788BEE0A" w:rsidR="00E304CC" w:rsidRPr="0025268C" w:rsidRDefault="00E304CC">
      <w:pPr>
        <w:pStyle w:val="FootnoteText"/>
      </w:pPr>
      <w:r>
        <w:rPr>
          <w:rStyle w:val="FootnoteReference"/>
        </w:rPr>
        <w:footnoteRef/>
      </w:r>
      <w:r>
        <w:t xml:space="preserve"> Nicolas </w:t>
      </w:r>
      <w:proofErr w:type="spellStart"/>
      <w:r>
        <w:t>Wolz</w:t>
      </w:r>
      <w:proofErr w:type="spellEnd"/>
      <w:r>
        <w:t xml:space="preserve">, </w:t>
      </w:r>
      <w:r>
        <w:rPr>
          <w:u w:val="single"/>
        </w:rPr>
        <w:t>From imperial splendour to internment: the German navy in the First World War</w:t>
      </w:r>
      <w:r>
        <w:t xml:space="preserve"> (Barnsley, 2015), pp 200-10 </w:t>
      </w:r>
    </w:p>
  </w:footnote>
  <w:footnote w:id="28">
    <w:p w14:paraId="256743C8" w14:textId="672A13BF" w:rsidR="00E304CC" w:rsidRDefault="00E304CC">
      <w:pPr>
        <w:pStyle w:val="FootnoteText"/>
      </w:pPr>
      <w:r>
        <w:rPr>
          <w:rStyle w:val="FootnoteReference"/>
        </w:rPr>
        <w:footnoteRef/>
      </w:r>
      <w:r>
        <w:t xml:space="preserve"> Robert </w:t>
      </w:r>
      <w:proofErr w:type="spellStart"/>
      <w:r>
        <w:t>Gerwarth</w:t>
      </w:r>
      <w:proofErr w:type="spellEnd"/>
      <w:r>
        <w:t xml:space="preserve">, </w:t>
      </w:r>
      <w:r w:rsidR="007F419C">
        <w:rPr>
          <w:u w:val="single"/>
        </w:rPr>
        <w:t>The Vanquished: why the First World War failed to end 1917-1923</w:t>
      </w:r>
      <w:r w:rsidR="007F419C">
        <w:t xml:space="preserve"> (London, 2016), p. 7</w:t>
      </w:r>
      <w:r>
        <w:t xml:space="preserve">. There may well be double counting here: for example, the British counted all those service personnel who died up until 1921 as First World War dead. </w:t>
      </w:r>
    </w:p>
  </w:footnote>
  <w:footnote w:id="29">
    <w:p w14:paraId="71A7C9FF" w14:textId="0F0280A3" w:rsidR="00E304CC" w:rsidRPr="00296440" w:rsidRDefault="00E304CC">
      <w:pPr>
        <w:pStyle w:val="FootnoteText"/>
      </w:pPr>
      <w:r>
        <w:rPr>
          <w:rStyle w:val="FootnoteReference"/>
        </w:rPr>
        <w:footnoteRef/>
      </w:r>
      <w:r>
        <w:t xml:space="preserve"> Charles E. </w:t>
      </w:r>
      <w:proofErr w:type="spellStart"/>
      <w:r>
        <w:t>Callwell</w:t>
      </w:r>
      <w:proofErr w:type="spellEnd"/>
      <w:r>
        <w:t xml:space="preserve">, </w:t>
      </w:r>
      <w:r>
        <w:rPr>
          <w:u w:val="single"/>
        </w:rPr>
        <w:t>Field-Marshal Sir Henry Wilson, Bart., GCB, DSO: his life and diaries</w:t>
      </w:r>
      <w:r>
        <w:t xml:space="preserve"> (2 vols, London, 1927), vol 2, p. 157 </w:t>
      </w:r>
    </w:p>
  </w:footnote>
  <w:footnote w:id="30">
    <w:p w14:paraId="30C3FBBD" w14:textId="0505ECA4" w:rsidR="00E304CC" w:rsidRPr="00D9547B" w:rsidRDefault="00E304CC">
      <w:pPr>
        <w:pStyle w:val="FootnoteText"/>
      </w:pPr>
      <w:r>
        <w:rPr>
          <w:rStyle w:val="FootnoteReference"/>
        </w:rPr>
        <w:footnoteRef/>
      </w:r>
      <w:r>
        <w:t xml:space="preserve"> Keith Jeffery, </w:t>
      </w:r>
      <w:r>
        <w:rPr>
          <w:u w:val="single"/>
        </w:rPr>
        <w:t>Field Marshal Sir Henry Wilson: a political soldier</w:t>
      </w:r>
      <w:r>
        <w:t xml:space="preserve"> (Oxford, 2008), p, 244   </w:t>
      </w:r>
    </w:p>
  </w:footnote>
  <w:footnote w:id="31">
    <w:p w14:paraId="66CF0D31" w14:textId="1B482B55" w:rsidR="00E304CC" w:rsidRPr="006748B0" w:rsidRDefault="00E304CC">
      <w:pPr>
        <w:pStyle w:val="FootnoteText"/>
      </w:pPr>
      <w:r>
        <w:rPr>
          <w:rStyle w:val="FootnoteReference"/>
        </w:rPr>
        <w:footnoteRef/>
      </w:r>
      <w:r>
        <w:t xml:space="preserve"> Keith Jeffery (ed), </w:t>
      </w:r>
      <w:r>
        <w:rPr>
          <w:u w:val="single"/>
        </w:rPr>
        <w:t>The military correspondence of Field Marshal Sir Henry Wilson 1918-1922</w:t>
      </w:r>
      <w:r>
        <w:t xml:space="preserve"> (London, 1985), p. </w:t>
      </w:r>
    </w:p>
  </w:footnote>
  <w:footnote w:id="32">
    <w:p w14:paraId="4F47AF05" w14:textId="31579411" w:rsidR="00E304CC" w:rsidRPr="00D9547B" w:rsidRDefault="00E304CC">
      <w:pPr>
        <w:pStyle w:val="FootnoteText"/>
      </w:pPr>
      <w:r>
        <w:rPr>
          <w:rStyle w:val="FootnoteReference"/>
        </w:rPr>
        <w:footnoteRef/>
      </w:r>
      <w:r>
        <w:t xml:space="preserve"> Greenhalgh, </w:t>
      </w:r>
      <w:r>
        <w:rPr>
          <w:u w:val="single"/>
        </w:rPr>
        <w:t>Foch in command</w:t>
      </w:r>
      <w:r>
        <w:t>, p. 495</w:t>
      </w:r>
    </w:p>
  </w:footnote>
  <w:footnote w:id="33">
    <w:p w14:paraId="1F4AD28D" w14:textId="5D09B71E" w:rsidR="00E304CC" w:rsidRPr="002C0C78" w:rsidRDefault="00E304CC">
      <w:pPr>
        <w:pStyle w:val="FootnoteText"/>
      </w:pPr>
      <w:r>
        <w:rPr>
          <w:rStyle w:val="FootnoteReference"/>
        </w:rPr>
        <w:footnoteRef/>
      </w:r>
      <w:r>
        <w:t xml:space="preserve"> </w:t>
      </w:r>
      <w:proofErr w:type="spellStart"/>
      <w:r>
        <w:t>Eliane</w:t>
      </w:r>
      <w:proofErr w:type="spellEnd"/>
      <w:r>
        <w:t xml:space="preserve"> Stern and Viviane Koenig, </w:t>
      </w:r>
      <w:proofErr w:type="spellStart"/>
      <w:r>
        <w:rPr>
          <w:u w:val="single"/>
        </w:rPr>
        <w:t>L’étoile</w:t>
      </w:r>
      <w:proofErr w:type="spellEnd"/>
      <w:r>
        <w:rPr>
          <w:u w:val="single"/>
        </w:rPr>
        <w:t xml:space="preserve">: le journal </w:t>
      </w:r>
      <w:proofErr w:type="spellStart"/>
      <w:r>
        <w:rPr>
          <w:u w:val="single"/>
        </w:rPr>
        <w:t>d’une</w:t>
      </w:r>
      <w:proofErr w:type="spellEnd"/>
      <w:r>
        <w:rPr>
          <w:u w:val="single"/>
        </w:rPr>
        <w:t xml:space="preserve"> petite </w:t>
      </w:r>
      <w:proofErr w:type="spellStart"/>
      <w:r>
        <w:rPr>
          <w:u w:val="single"/>
        </w:rPr>
        <w:t>fille</w:t>
      </w:r>
      <w:proofErr w:type="spellEnd"/>
      <w:r>
        <w:rPr>
          <w:u w:val="single"/>
        </w:rPr>
        <w:t xml:space="preserve"> pendant la </w:t>
      </w:r>
      <w:proofErr w:type="spellStart"/>
      <w:r>
        <w:rPr>
          <w:u w:val="single"/>
        </w:rPr>
        <w:t>grande</w:t>
      </w:r>
      <w:proofErr w:type="spellEnd"/>
      <w:r>
        <w:rPr>
          <w:u w:val="single"/>
        </w:rPr>
        <w:t xml:space="preserve"> guerre</w:t>
      </w:r>
      <w:r>
        <w:t xml:space="preserve"> (Paris, 2014), pp 52-4; see also p. 68. </w:t>
      </w:r>
      <w:proofErr w:type="spellStart"/>
      <w:r>
        <w:t>Eliane</w:t>
      </w:r>
      <w:proofErr w:type="spellEnd"/>
      <w:r>
        <w:t xml:space="preserve"> Stern died in Auschwitz in 1942, followed in 1943 by her parents, her husband and her own children. </w:t>
      </w:r>
    </w:p>
  </w:footnote>
  <w:footnote w:id="34">
    <w:p w14:paraId="6859FBA3" w14:textId="29BB306C" w:rsidR="00DA6131" w:rsidRPr="00DA6131" w:rsidRDefault="00DA6131">
      <w:pPr>
        <w:pStyle w:val="FootnoteText"/>
      </w:pPr>
      <w:r>
        <w:rPr>
          <w:rStyle w:val="FootnoteReference"/>
        </w:rPr>
        <w:footnoteRef/>
      </w:r>
      <w:r>
        <w:t xml:space="preserve"> William Butler, ‘”The British soldier is no Bolshevik”: the British army, discipline, and the demobilization strikes of 1919’, </w:t>
      </w:r>
      <w:r>
        <w:rPr>
          <w:u w:val="single"/>
        </w:rPr>
        <w:t>Twentieth-Century British History</w:t>
      </w:r>
      <w:r>
        <w:t>, vol 30</w:t>
      </w:r>
      <w:r w:rsidR="009B69C7">
        <w:t xml:space="preserve"> (</w:t>
      </w:r>
      <w:r>
        <w:t>2019</w:t>
      </w:r>
      <w:r w:rsidR="009B69C7">
        <w:t>)</w:t>
      </w:r>
      <w:r>
        <w:t xml:space="preserve">, pp </w:t>
      </w:r>
      <w:r w:rsidR="008D4B01">
        <w:t>321-46</w:t>
      </w:r>
    </w:p>
  </w:footnote>
  <w:footnote w:id="35">
    <w:p w14:paraId="7AFF251D" w14:textId="2E470566" w:rsidR="00E304CC" w:rsidRPr="00B04A6E" w:rsidRDefault="00E304CC">
      <w:pPr>
        <w:pStyle w:val="FootnoteText"/>
        <w:rPr>
          <w:u w:val="single"/>
        </w:rPr>
      </w:pPr>
      <w:r>
        <w:rPr>
          <w:rStyle w:val="FootnoteReference"/>
        </w:rPr>
        <w:footnoteRef/>
      </w:r>
      <w:r>
        <w:t xml:space="preserve"> Bruno </w:t>
      </w:r>
      <w:proofErr w:type="spellStart"/>
      <w:r>
        <w:t>Cabannes</w:t>
      </w:r>
      <w:proofErr w:type="spellEnd"/>
      <w:r>
        <w:t xml:space="preserve">, </w:t>
      </w:r>
      <w:r>
        <w:rPr>
          <w:u w:val="single"/>
        </w:rPr>
        <w:t xml:space="preserve">La </w:t>
      </w:r>
      <w:proofErr w:type="spellStart"/>
      <w:r>
        <w:rPr>
          <w:u w:val="single"/>
        </w:rPr>
        <w:t>victoire</w:t>
      </w:r>
      <w:proofErr w:type="spellEnd"/>
      <w:r>
        <w:rPr>
          <w:u w:val="single"/>
        </w:rPr>
        <w:t xml:space="preserve"> </w:t>
      </w:r>
      <w:proofErr w:type="spellStart"/>
      <w:r>
        <w:rPr>
          <w:u w:val="single"/>
        </w:rPr>
        <w:t>endeuillée</w:t>
      </w:r>
      <w:proofErr w:type="spellEnd"/>
      <w:r>
        <w:rPr>
          <w:u w:val="single"/>
        </w:rPr>
        <w:t xml:space="preserve">: la sortie de guerre des </w:t>
      </w:r>
      <w:proofErr w:type="spellStart"/>
      <w:r>
        <w:rPr>
          <w:u w:val="single"/>
        </w:rPr>
        <w:t>soldats</w:t>
      </w:r>
      <w:proofErr w:type="spellEnd"/>
      <w:r>
        <w:rPr>
          <w:u w:val="single"/>
        </w:rPr>
        <w:t xml:space="preserve"> </w:t>
      </w:r>
      <w:proofErr w:type="spellStart"/>
      <w:r>
        <w:rPr>
          <w:u w:val="single"/>
        </w:rPr>
        <w:t>français</w:t>
      </w:r>
      <w:proofErr w:type="spellEnd"/>
      <w:r>
        <w:rPr>
          <w:u w:val="single"/>
        </w:rPr>
        <w:t xml:space="preserve"> (1018-1920)</w:t>
      </w:r>
      <w:r>
        <w:t xml:space="preserve"> ((Paris, 2004), pp 284-95, 327-34</w:t>
      </w:r>
      <w:r>
        <w:rPr>
          <w:u w:val="single"/>
        </w:rPr>
        <w:t xml:space="preserve">  </w:t>
      </w:r>
    </w:p>
  </w:footnote>
  <w:footnote w:id="36">
    <w:p w14:paraId="18BBE9C7" w14:textId="18E2DEB2" w:rsidR="00E304CC" w:rsidRPr="0059134E" w:rsidRDefault="00E304CC" w:rsidP="00B04A6E">
      <w:pPr>
        <w:pStyle w:val="FootnoteText"/>
        <w:rPr>
          <w:u w:val="single"/>
        </w:rPr>
      </w:pPr>
      <w:r>
        <w:rPr>
          <w:rStyle w:val="FootnoteReference"/>
        </w:rPr>
        <w:footnoteRef/>
      </w:r>
      <w:r>
        <w:t xml:space="preserve"> Matt Perry, </w:t>
      </w:r>
      <w:r>
        <w:rPr>
          <w:u w:val="single"/>
        </w:rPr>
        <w:t>Mutinous memories: a subjective history of French military protest in 1919</w:t>
      </w:r>
      <w:r>
        <w:t xml:space="preserve"> (Manchester, 2019), pp 3-8 provides a chronology; for the navy specifically, see Philippe Masson, </w:t>
      </w:r>
      <w:r>
        <w:rPr>
          <w:u w:val="single"/>
        </w:rPr>
        <w:t xml:space="preserve">La marine </w:t>
      </w:r>
      <w:proofErr w:type="spellStart"/>
      <w:r>
        <w:rPr>
          <w:u w:val="single"/>
        </w:rPr>
        <w:t>française</w:t>
      </w:r>
      <w:proofErr w:type="spellEnd"/>
      <w:r>
        <w:rPr>
          <w:u w:val="single"/>
        </w:rPr>
        <w:t xml:space="preserve"> et la </w:t>
      </w:r>
      <w:proofErr w:type="spellStart"/>
      <w:r>
        <w:rPr>
          <w:u w:val="single"/>
        </w:rPr>
        <w:t>mer</w:t>
      </w:r>
      <w:proofErr w:type="spellEnd"/>
      <w:r>
        <w:rPr>
          <w:u w:val="single"/>
        </w:rPr>
        <w:t xml:space="preserve"> noire (1918-1919)</w:t>
      </w:r>
      <w:r>
        <w:t xml:space="preserve"> (Paris, 1982)</w:t>
      </w:r>
      <w:r>
        <w:rPr>
          <w:u w:val="single"/>
        </w:rPr>
        <w:t xml:space="preserve">  </w:t>
      </w:r>
    </w:p>
  </w:footnote>
  <w:footnote w:id="37">
    <w:p w14:paraId="36A25841" w14:textId="77777777" w:rsidR="00E304CC" w:rsidRPr="003128BF" w:rsidRDefault="00E304CC" w:rsidP="00663879">
      <w:pPr>
        <w:pStyle w:val="FootnoteText"/>
      </w:pPr>
      <w:r>
        <w:rPr>
          <w:rStyle w:val="FootnoteReference"/>
        </w:rPr>
        <w:footnoteRef/>
      </w:r>
      <w:r>
        <w:t xml:space="preserve"> Laura Rowe, </w:t>
      </w:r>
      <w:r>
        <w:rPr>
          <w:u w:val="single"/>
        </w:rPr>
        <w:t>Morale and discipline in the Royal Navy during the First World W</w:t>
      </w:r>
      <w:r>
        <w:rPr>
          <w:u w:val="words"/>
        </w:rPr>
        <w:t>ar</w:t>
      </w:r>
      <w:r>
        <w:t xml:space="preserve"> (Cambridge, 2018), p. 238</w:t>
      </w:r>
    </w:p>
  </w:footnote>
  <w:footnote w:id="38">
    <w:p w14:paraId="7FF4AE02" w14:textId="2277DBA8" w:rsidR="008D4B01" w:rsidRPr="00FE04A2" w:rsidRDefault="008D4B01">
      <w:pPr>
        <w:pStyle w:val="FootnoteText"/>
      </w:pPr>
      <w:r>
        <w:rPr>
          <w:rStyle w:val="FootnoteReference"/>
        </w:rPr>
        <w:footnoteRef/>
      </w:r>
      <w:r>
        <w:t xml:space="preserve"> Mario Draper, ‘Mutiny under the sun: the Connaught Rangers, In</w:t>
      </w:r>
      <w:r w:rsidR="00FE04A2">
        <w:t xml:space="preserve">dia, 1920’, </w:t>
      </w:r>
      <w:r w:rsidR="00FE04A2">
        <w:rPr>
          <w:u w:val="single"/>
        </w:rPr>
        <w:t>War in History</w:t>
      </w:r>
      <w:r w:rsidR="00FE04A2">
        <w:t>, vol 27</w:t>
      </w:r>
      <w:r w:rsidR="009B69C7">
        <w:t xml:space="preserve"> (</w:t>
      </w:r>
      <w:r w:rsidR="00FE04A2">
        <w:t>2020</w:t>
      </w:r>
      <w:r w:rsidR="009B69C7">
        <w:t>)</w:t>
      </w:r>
      <w:r w:rsidR="00FE04A2">
        <w:t>, pp 202-23</w:t>
      </w:r>
    </w:p>
  </w:footnote>
  <w:footnote w:id="39">
    <w:p w14:paraId="1062BBD6" w14:textId="4A8E9161" w:rsidR="00E304CC" w:rsidRPr="0059134E" w:rsidRDefault="00E304CC">
      <w:pPr>
        <w:pStyle w:val="FootnoteText"/>
      </w:pPr>
      <w:r>
        <w:rPr>
          <w:rStyle w:val="FootnoteReference"/>
        </w:rPr>
        <w:footnoteRef/>
      </w:r>
      <w:r>
        <w:t xml:space="preserve"> Jeffery, </w:t>
      </w:r>
      <w:r>
        <w:rPr>
          <w:u w:val="single"/>
        </w:rPr>
        <w:t>Wilson</w:t>
      </w:r>
      <w:r>
        <w:t>, p. 231</w:t>
      </w:r>
    </w:p>
  </w:footnote>
  <w:footnote w:id="40">
    <w:p w14:paraId="48989839" w14:textId="085BE89D" w:rsidR="00E304CC" w:rsidRPr="006F00DC" w:rsidRDefault="00E304CC">
      <w:pPr>
        <w:pStyle w:val="FootnoteText"/>
      </w:pPr>
      <w:r>
        <w:rPr>
          <w:rStyle w:val="FootnoteReference"/>
        </w:rPr>
        <w:footnoteRef/>
      </w:r>
      <w:r>
        <w:t xml:space="preserve"> Sneha Reddy Tumu</w:t>
      </w:r>
      <w:r w:rsidR="00E9438D">
        <w:t>, ‘North African and Indian soldiers in the First World War in Palestine and Syria, 1917-1923’, University of St Andrews Ph D thesis, 2020</w:t>
      </w:r>
      <w:r>
        <w:t xml:space="preserve">; </w:t>
      </w:r>
      <w:proofErr w:type="spellStart"/>
      <w:r>
        <w:t>Glenford</w:t>
      </w:r>
      <w:proofErr w:type="spellEnd"/>
      <w:r>
        <w:t xml:space="preserve"> Howe, </w:t>
      </w:r>
      <w:r>
        <w:rPr>
          <w:u w:val="single"/>
        </w:rPr>
        <w:t>Race, war and nationalism: a social history of West Indians in the First World War</w:t>
      </w:r>
      <w:r>
        <w:t xml:space="preserve"> (Kingston, 2002), pp 164-7; Richard Smith, </w:t>
      </w:r>
      <w:r>
        <w:rPr>
          <w:u w:val="single"/>
        </w:rPr>
        <w:t>Jamaican volunteers in the First World War: race, masculinity and the development of national consciousness</w:t>
      </w:r>
      <w:r>
        <w:t xml:space="preserve"> (Manchester, 2004), pp 130-5 </w:t>
      </w:r>
    </w:p>
  </w:footnote>
  <w:footnote w:id="41">
    <w:p w14:paraId="575FE4D5" w14:textId="28150570" w:rsidR="00E304CC" w:rsidRDefault="00E304CC">
      <w:pPr>
        <w:pStyle w:val="FootnoteText"/>
      </w:pPr>
      <w:r>
        <w:rPr>
          <w:rStyle w:val="FootnoteReference"/>
        </w:rPr>
        <w:footnoteRef/>
      </w:r>
      <w:r>
        <w:t xml:space="preserve"> Jean </w:t>
      </w:r>
      <w:proofErr w:type="spellStart"/>
      <w:r>
        <w:t>Doise</w:t>
      </w:r>
      <w:proofErr w:type="spellEnd"/>
      <w:r>
        <w:t xml:space="preserve"> and Maurice </w:t>
      </w:r>
      <w:proofErr w:type="spellStart"/>
      <w:r>
        <w:t>Vaïsse</w:t>
      </w:r>
      <w:proofErr w:type="spellEnd"/>
      <w:r>
        <w:t xml:space="preserve">, </w:t>
      </w:r>
      <w:proofErr w:type="spellStart"/>
      <w:r>
        <w:rPr>
          <w:u w:val="single"/>
        </w:rPr>
        <w:t>Diplomatie</w:t>
      </w:r>
      <w:proofErr w:type="spellEnd"/>
      <w:r>
        <w:rPr>
          <w:u w:val="single"/>
        </w:rPr>
        <w:t xml:space="preserve"> et </w:t>
      </w:r>
      <w:proofErr w:type="spellStart"/>
      <w:r>
        <w:rPr>
          <w:u w:val="single"/>
        </w:rPr>
        <w:t>outil</w:t>
      </w:r>
      <w:proofErr w:type="spellEnd"/>
      <w:r>
        <w:rPr>
          <w:u w:val="single"/>
        </w:rPr>
        <w:t xml:space="preserve"> </w:t>
      </w:r>
      <w:proofErr w:type="spellStart"/>
      <w:r>
        <w:rPr>
          <w:u w:val="single"/>
        </w:rPr>
        <w:t>militaire</w:t>
      </w:r>
      <w:proofErr w:type="spellEnd"/>
      <w:r>
        <w:rPr>
          <w:u w:val="single"/>
        </w:rPr>
        <w:t xml:space="preserve">: </w:t>
      </w:r>
      <w:proofErr w:type="spellStart"/>
      <w:r>
        <w:rPr>
          <w:u w:val="single"/>
        </w:rPr>
        <w:t>politique</w:t>
      </w:r>
      <w:proofErr w:type="spellEnd"/>
      <w:r>
        <w:rPr>
          <w:u w:val="single"/>
        </w:rPr>
        <w:t xml:space="preserve"> </w:t>
      </w:r>
      <w:proofErr w:type="spellStart"/>
      <w:r>
        <w:rPr>
          <w:u w:val="single"/>
        </w:rPr>
        <w:t>étrangère</w:t>
      </w:r>
      <w:proofErr w:type="spellEnd"/>
      <w:r>
        <w:rPr>
          <w:u w:val="single"/>
        </w:rPr>
        <w:t xml:space="preserve"> de la France, 1871-1969</w:t>
      </w:r>
      <w:r>
        <w:t xml:space="preserve"> (Paris, 1987), pp 263-8</w:t>
      </w:r>
    </w:p>
  </w:footnote>
  <w:footnote w:id="42">
    <w:p w14:paraId="56B71E53" w14:textId="45E792CF" w:rsidR="00E304CC" w:rsidRPr="00906229" w:rsidRDefault="00E304CC">
      <w:pPr>
        <w:pStyle w:val="FootnoteText"/>
      </w:pPr>
      <w:r>
        <w:rPr>
          <w:rStyle w:val="FootnoteReference"/>
        </w:rPr>
        <w:footnoteRef/>
      </w:r>
      <w:r>
        <w:t xml:space="preserve"> </w:t>
      </w:r>
      <w:proofErr w:type="spellStart"/>
      <w:r>
        <w:t>Callwell</w:t>
      </w:r>
      <w:proofErr w:type="spellEnd"/>
      <w:r>
        <w:t xml:space="preserve">, </w:t>
      </w:r>
      <w:r>
        <w:rPr>
          <w:u w:val="single"/>
        </w:rPr>
        <w:t>Wilson</w:t>
      </w:r>
      <w:r>
        <w:t xml:space="preserve">, </w:t>
      </w:r>
      <w:proofErr w:type="spellStart"/>
      <w:r>
        <w:t>vol</w:t>
      </w:r>
      <w:proofErr w:type="spellEnd"/>
      <w:r>
        <w:t xml:space="preserve"> 2, p. 182; see also Geoffrey Bennett, </w:t>
      </w:r>
      <w:r>
        <w:rPr>
          <w:u w:val="single"/>
        </w:rPr>
        <w:t>Cowan’s war: the story of British naval operations in the Baltic, 1918-1920</w:t>
      </w:r>
      <w:r>
        <w:t xml:space="preserve"> (London, 1964)</w:t>
      </w:r>
      <w:r>
        <w:rPr>
          <w:u w:val="single"/>
        </w:rPr>
        <w:t xml:space="preserve"> </w:t>
      </w:r>
      <w:r>
        <w:t xml:space="preserve"> </w:t>
      </w:r>
    </w:p>
  </w:footnote>
  <w:footnote w:id="43">
    <w:p w14:paraId="5DFCD0D8" w14:textId="6EE81184" w:rsidR="00E304CC" w:rsidRPr="00314D01" w:rsidRDefault="00E304CC">
      <w:pPr>
        <w:pStyle w:val="FootnoteText"/>
      </w:pPr>
      <w:r>
        <w:rPr>
          <w:rStyle w:val="FootnoteReference"/>
        </w:rPr>
        <w:footnoteRef/>
      </w:r>
      <w:r>
        <w:t xml:space="preserve"> </w:t>
      </w:r>
      <w:proofErr w:type="spellStart"/>
      <w:r>
        <w:t>Callwell</w:t>
      </w:r>
      <w:proofErr w:type="spellEnd"/>
      <w:r>
        <w:t xml:space="preserve">, </w:t>
      </w:r>
      <w:r>
        <w:rPr>
          <w:u w:val="single"/>
        </w:rPr>
        <w:t>Wilson</w:t>
      </w:r>
      <w:r>
        <w:t xml:space="preserve">, </w:t>
      </w:r>
      <w:proofErr w:type="spellStart"/>
      <w:r>
        <w:t>vol</w:t>
      </w:r>
      <w:proofErr w:type="spellEnd"/>
      <w:r>
        <w:t xml:space="preserve"> 2, p. 244</w:t>
      </w:r>
    </w:p>
  </w:footnote>
  <w:footnote w:id="44">
    <w:p w14:paraId="7A53A612" w14:textId="0D5E4CBD" w:rsidR="00E304CC" w:rsidRPr="00DD3984" w:rsidRDefault="00E304CC">
      <w:pPr>
        <w:pStyle w:val="FootnoteText"/>
      </w:pPr>
      <w:r>
        <w:rPr>
          <w:rStyle w:val="FootnoteReference"/>
        </w:rPr>
        <w:footnoteRef/>
      </w:r>
      <w:r>
        <w:t xml:space="preserve"> Jeffery, </w:t>
      </w:r>
      <w:r>
        <w:rPr>
          <w:u w:val="single"/>
        </w:rPr>
        <w:t>Wilson</w:t>
      </w:r>
      <w:r>
        <w:t>, pp 278-9</w:t>
      </w:r>
    </w:p>
  </w:footnote>
  <w:footnote w:id="45">
    <w:p w14:paraId="573B5E9C" w14:textId="77777777" w:rsidR="008D4570" w:rsidRPr="004F19A1" w:rsidRDefault="008D4570" w:rsidP="008D4570">
      <w:pPr>
        <w:pStyle w:val="FootnoteText"/>
      </w:pPr>
      <w:r>
        <w:rPr>
          <w:rStyle w:val="FootnoteReference"/>
        </w:rPr>
        <w:footnoteRef/>
      </w:r>
      <w:r>
        <w:t xml:space="preserve"> </w:t>
      </w:r>
      <w:proofErr w:type="spellStart"/>
      <w:r>
        <w:t>Mordacq</w:t>
      </w:r>
      <w:proofErr w:type="spellEnd"/>
      <w:r>
        <w:t xml:space="preserve">, </w:t>
      </w:r>
      <w:r>
        <w:rPr>
          <w:u w:val="single"/>
        </w:rPr>
        <w:t xml:space="preserve">Le </w:t>
      </w:r>
      <w:proofErr w:type="spellStart"/>
      <w:r>
        <w:rPr>
          <w:u w:val="single"/>
        </w:rPr>
        <w:t>ministère</w:t>
      </w:r>
      <w:proofErr w:type="spellEnd"/>
      <w:r>
        <w:rPr>
          <w:u w:val="single"/>
        </w:rPr>
        <w:t xml:space="preserve"> Clemenceau</w:t>
      </w:r>
      <w:r>
        <w:t>, vol 2, pp 268-9</w:t>
      </w:r>
    </w:p>
  </w:footnote>
  <w:footnote w:id="46">
    <w:p w14:paraId="24B183E3" w14:textId="7E8369DE" w:rsidR="00E304CC" w:rsidRPr="009B24C2" w:rsidRDefault="00E304CC">
      <w:pPr>
        <w:pStyle w:val="FootnoteText"/>
      </w:pPr>
      <w:r>
        <w:rPr>
          <w:rStyle w:val="FootnoteReference"/>
        </w:rPr>
        <w:footnoteRef/>
      </w:r>
      <w:r>
        <w:t xml:space="preserve"> </w:t>
      </w:r>
      <w:proofErr w:type="spellStart"/>
      <w:r>
        <w:t>Mordacq</w:t>
      </w:r>
      <w:proofErr w:type="spellEnd"/>
      <w:r>
        <w:t xml:space="preserve">, </w:t>
      </w:r>
      <w:r>
        <w:rPr>
          <w:u w:val="single"/>
        </w:rPr>
        <w:t xml:space="preserve">Le </w:t>
      </w:r>
      <w:proofErr w:type="spellStart"/>
      <w:r>
        <w:rPr>
          <w:u w:val="single"/>
        </w:rPr>
        <w:t>ministère</w:t>
      </w:r>
      <w:proofErr w:type="spellEnd"/>
      <w:r>
        <w:rPr>
          <w:u w:val="single"/>
        </w:rPr>
        <w:t xml:space="preserve"> Clemenceau</w:t>
      </w:r>
      <w:r>
        <w:t>, vol 2, p. 284</w:t>
      </w:r>
    </w:p>
  </w:footnote>
  <w:footnote w:id="47">
    <w:p w14:paraId="40E24C05" w14:textId="4C31A20F" w:rsidR="00E304CC" w:rsidRDefault="00E304CC">
      <w:pPr>
        <w:pStyle w:val="FootnoteText"/>
      </w:pPr>
      <w:r>
        <w:rPr>
          <w:rStyle w:val="FootnoteReference"/>
        </w:rPr>
        <w:footnoteRef/>
      </w:r>
      <w:r>
        <w:t xml:space="preserve"> </w:t>
      </w:r>
      <w:proofErr w:type="spellStart"/>
      <w:r>
        <w:t>Mordacq</w:t>
      </w:r>
      <w:proofErr w:type="spellEnd"/>
      <w:r>
        <w:t xml:space="preserve">, </w:t>
      </w:r>
      <w:r>
        <w:rPr>
          <w:u w:val="single"/>
        </w:rPr>
        <w:t xml:space="preserve">Le </w:t>
      </w:r>
      <w:proofErr w:type="spellStart"/>
      <w:r>
        <w:rPr>
          <w:u w:val="single"/>
        </w:rPr>
        <w:t>ministère</w:t>
      </w:r>
      <w:proofErr w:type="spellEnd"/>
      <w:r>
        <w:rPr>
          <w:u w:val="single"/>
        </w:rPr>
        <w:t xml:space="preserve"> Clemenceau</w:t>
      </w:r>
      <w:r>
        <w:t>, vol 2, p. 313</w:t>
      </w:r>
    </w:p>
  </w:footnote>
  <w:footnote w:id="48">
    <w:p w14:paraId="645442B5" w14:textId="1922265D" w:rsidR="00E304CC" w:rsidRPr="00A203FA" w:rsidRDefault="00E304CC">
      <w:pPr>
        <w:pStyle w:val="FootnoteText"/>
      </w:pPr>
      <w:r>
        <w:rPr>
          <w:rStyle w:val="FootnoteReference"/>
        </w:rPr>
        <w:footnoteRef/>
      </w:r>
      <w:r>
        <w:t xml:space="preserve"> </w:t>
      </w:r>
      <w:proofErr w:type="spellStart"/>
      <w:r>
        <w:t>Callwell</w:t>
      </w:r>
      <w:proofErr w:type="spellEnd"/>
      <w:r>
        <w:t xml:space="preserve">, </w:t>
      </w:r>
      <w:r>
        <w:rPr>
          <w:u w:val="single"/>
        </w:rPr>
        <w:t>Wilson</w:t>
      </w:r>
      <w:r>
        <w:t xml:space="preserve">, </w:t>
      </w:r>
      <w:proofErr w:type="spellStart"/>
      <w:r>
        <w:t>vol</w:t>
      </w:r>
      <w:proofErr w:type="spellEnd"/>
      <w:r>
        <w:t xml:space="preserve"> 2, p. 182; see also p.185</w:t>
      </w:r>
    </w:p>
  </w:footnote>
  <w:footnote w:id="49">
    <w:p w14:paraId="6F4E5ADE" w14:textId="6D149AA6" w:rsidR="00800C3A" w:rsidRPr="00800C3A" w:rsidRDefault="00800C3A">
      <w:pPr>
        <w:pStyle w:val="FootnoteText"/>
      </w:pPr>
      <w:r>
        <w:rPr>
          <w:rStyle w:val="FootnoteReference"/>
        </w:rPr>
        <w:footnoteRef/>
      </w:r>
      <w:r>
        <w:t xml:space="preserve"> See his warnings about Japanese intervention in Russia in March 1918: Carol Willcox Melton, </w:t>
      </w:r>
      <w:r>
        <w:rPr>
          <w:u w:val="single"/>
        </w:rPr>
        <w:t>Between war and peace: Woodrow Wilson and the American Expeditionary Force in Siberia, 1918-1921</w:t>
      </w:r>
      <w:r>
        <w:t xml:space="preserve"> (Macon, Georgia, 2001), p. 5</w:t>
      </w:r>
    </w:p>
  </w:footnote>
  <w:footnote w:id="50">
    <w:p w14:paraId="47A6F199" w14:textId="430CE89D" w:rsidR="00195A05" w:rsidRPr="00041380" w:rsidRDefault="00195A05">
      <w:pPr>
        <w:pStyle w:val="FootnoteText"/>
        <w:rPr>
          <w:u w:val="single"/>
        </w:rPr>
      </w:pPr>
      <w:r>
        <w:rPr>
          <w:rStyle w:val="FootnoteReference"/>
        </w:rPr>
        <w:footnoteRef/>
      </w:r>
      <w:r>
        <w:t xml:space="preserve"> </w:t>
      </w:r>
      <w:r w:rsidR="00041380">
        <w:t xml:space="preserve">David R. Woodward, </w:t>
      </w:r>
      <w:r w:rsidR="00041380">
        <w:rPr>
          <w:u w:val="single"/>
        </w:rPr>
        <w:t>Trial by friendship: Anglo-American relations 1917-1918</w:t>
      </w:r>
      <w:r w:rsidR="00041380">
        <w:t xml:space="preserve"> (Lexington, 1993), pp 31-2, 56</w:t>
      </w:r>
      <w:r w:rsidR="003774B0">
        <w:t>, 155</w:t>
      </w:r>
      <w:r w:rsidR="00041380">
        <w:t xml:space="preserve">; Geoffrey Wawro, </w:t>
      </w:r>
      <w:r w:rsidR="00041380">
        <w:rPr>
          <w:u w:val="single"/>
        </w:rPr>
        <w:t>Sons of freedom: the forgotten American soldiers who defeated Germany in World War I</w:t>
      </w:r>
      <w:r w:rsidR="00041380">
        <w:t xml:space="preserve"> (New York, 2018), pp 71-2, 94, 101</w:t>
      </w:r>
      <w:r w:rsidR="00041380">
        <w:rPr>
          <w:u w:val="single"/>
        </w:rPr>
        <w:t xml:space="preserve"> </w:t>
      </w:r>
    </w:p>
  </w:footnote>
  <w:footnote w:id="51">
    <w:p w14:paraId="3718970E" w14:textId="7F3AF095" w:rsidR="00041380" w:rsidRPr="00041380" w:rsidRDefault="00041380">
      <w:pPr>
        <w:pStyle w:val="FootnoteText"/>
      </w:pPr>
      <w:r>
        <w:rPr>
          <w:rStyle w:val="FootnoteReference"/>
        </w:rPr>
        <w:footnoteRef/>
      </w:r>
      <w:r>
        <w:t xml:space="preserve"> Margaret MacMillan, </w:t>
      </w:r>
      <w:r>
        <w:rPr>
          <w:u w:val="single"/>
        </w:rPr>
        <w:t>P</w:t>
      </w:r>
      <w:r w:rsidR="00BC0E46">
        <w:rPr>
          <w:u w:val="single"/>
        </w:rPr>
        <w:t>aris 1919</w:t>
      </w:r>
      <w:r w:rsidR="00BC0E46">
        <w:t xml:space="preserve"> (New York, 2002)</w:t>
      </w:r>
      <w:r>
        <w:t>, p</w:t>
      </w:r>
      <w:r w:rsidR="00BC0E46">
        <w:t>p 5-</w:t>
      </w:r>
      <w:r>
        <w:t>6</w:t>
      </w:r>
    </w:p>
  </w:footnote>
  <w:footnote w:id="52">
    <w:p w14:paraId="54B0BD40" w14:textId="0F9137BA" w:rsidR="001F4019" w:rsidRPr="001F4019" w:rsidRDefault="001F4019">
      <w:pPr>
        <w:pStyle w:val="FootnoteText"/>
        <w:rPr>
          <w:u w:val="single"/>
        </w:rPr>
      </w:pPr>
      <w:r>
        <w:rPr>
          <w:rStyle w:val="FootnoteReference"/>
        </w:rPr>
        <w:footnoteRef/>
      </w:r>
      <w:r>
        <w:t xml:space="preserve"> Peter J. Yearwood, </w:t>
      </w:r>
      <w:r>
        <w:rPr>
          <w:u w:val="single"/>
        </w:rPr>
        <w:t>Guarantee of peace: the League of Nations in British policy 1914-1925</w:t>
      </w:r>
      <w:r>
        <w:t xml:space="preserve"> (Oxford, 2009), p. 155</w:t>
      </w:r>
      <w:r>
        <w:rPr>
          <w:u w:val="single"/>
        </w:rPr>
        <w:t xml:space="preserve"> </w:t>
      </w:r>
    </w:p>
  </w:footnote>
  <w:footnote w:id="53">
    <w:p w14:paraId="22138CBA" w14:textId="77C8447C" w:rsidR="00F04682" w:rsidRPr="00F04682" w:rsidRDefault="00F04682">
      <w:pPr>
        <w:pStyle w:val="FootnoteText"/>
      </w:pPr>
      <w:r>
        <w:rPr>
          <w:rStyle w:val="FootnoteReference"/>
        </w:rPr>
        <w:footnoteRef/>
      </w:r>
      <w:r>
        <w:t xml:space="preserve"> Lucy Hughes-Hallett, </w:t>
      </w:r>
      <w:r>
        <w:rPr>
          <w:u w:val="single"/>
        </w:rPr>
        <w:t xml:space="preserve">The pike: Gabriele </w:t>
      </w:r>
      <w:proofErr w:type="spellStart"/>
      <w:r>
        <w:rPr>
          <w:u w:val="single"/>
        </w:rPr>
        <w:t>d’Annunzio</w:t>
      </w:r>
      <w:proofErr w:type="spellEnd"/>
      <w:r>
        <w:rPr>
          <w:u w:val="single"/>
        </w:rPr>
        <w:t>: poet, seducer and preacher of war</w:t>
      </w:r>
      <w:r>
        <w:t xml:space="preserve"> (London, 2013), pp 491-3</w:t>
      </w:r>
    </w:p>
  </w:footnote>
  <w:footnote w:id="54">
    <w:p w14:paraId="4A1ADFE2" w14:textId="2EA8A6B6" w:rsidR="009C648C" w:rsidRDefault="009C648C">
      <w:pPr>
        <w:pStyle w:val="FootnoteText"/>
      </w:pPr>
      <w:r>
        <w:rPr>
          <w:rStyle w:val="FootnoteReference"/>
        </w:rPr>
        <w:footnoteRef/>
      </w:r>
      <w:r>
        <w:t xml:space="preserve"> </w:t>
      </w:r>
      <w:r w:rsidR="00A90566">
        <w:t xml:space="preserve">Frederick Maurice, </w:t>
      </w:r>
      <w:r w:rsidR="00A90566">
        <w:rPr>
          <w:u w:val="single"/>
        </w:rPr>
        <w:t>The armistices of 1918</w:t>
      </w:r>
      <w:r w:rsidR="00A90566">
        <w:t xml:space="preserve"> (London, 1943), p</w:t>
      </w:r>
      <w:r w:rsidR="00F04682">
        <w:t>.80</w:t>
      </w:r>
      <w:r w:rsidR="00A90566">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DAFDA" w14:textId="77777777" w:rsidR="00E304CC" w:rsidRDefault="00E304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6305816"/>
      <w:docPartObj>
        <w:docPartGallery w:val="Page Numbers (Top of Page)"/>
        <w:docPartUnique/>
      </w:docPartObj>
    </w:sdtPr>
    <w:sdtEndPr>
      <w:rPr>
        <w:noProof/>
      </w:rPr>
    </w:sdtEndPr>
    <w:sdtContent>
      <w:p w14:paraId="4795B086" w14:textId="61AB9CEF" w:rsidR="00E304CC" w:rsidRDefault="00E304CC">
        <w:pPr>
          <w:pStyle w:val="Header"/>
        </w:pPr>
        <w:r>
          <w:fldChar w:fldCharType="begin"/>
        </w:r>
        <w:r>
          <w:instrText xml:space="preserve"> PAGE   \* MERGEFORMAT </w:instrText>
        </w:r>
        <w:r>
          <w:fldChar w:fldCharType="separate"/>
        </w:r>
        <w:r w:rsidR="0041482E">
          <w:rPr>
            <w:noProof/>
          </w:rPr>
          <w:t>3</w:t>
        </w:r>
        <w:r>
          <w:rPr>
            <w:noProof/>
          </w:rPr>
          <w:fldChar w:fldCharType="end"/>
        </w:r>
      </w:p>
    </w:sdtContent>
  </w:sdt>
  <w:p w14:paraId="511D18E9" w14:textId="77777777" w:rsidR="00E304CC" w:rsidRDefault="00E304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37527" w14:textId="77777777" w:rsidR="00E304CC" w:rsidRDefault="00E304C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A5E"/>
    <w:rsid w:val="000002DB"/>
    <w:rsid w:val="00041380"/>
    <w:rsid w:val="00041763"/>
    <w:rsid w:val="00066536"/>
    <w:rsid w:val="0007045C"/>
    <w:rsid w:val="00090B0D"/>
    <w:rsid w:val="000B3324"/>
    <w:rsid w:val="000B78F0"/>
    <w:rsid w:val="000C6A09"/>
    <w:rsid w:val="000F4287"/>
    <w:rsid w:val="00124A2F"/>
    <w:rsid w:val="001432D8"/>
    <w:rsid w:val="00150178"/>
    <w:rsid w:val="0015598B"/>
    <w:rsid w:val="00162991"/>
    <w:rsid w:val="0018193B"/>
    <w:rsid w:val="00182A5E"/>
    <w:rsid w:val="00192465"/>
    <w:rsid w:val="00195A05"/>
    <w:rsid w:val="001A4A04"/>
    <w:rsid w:val="001A6521"/>
    <w:rsid w:val="001A6A5F"/>
    <w:rsid w:val="001F4019"/>
    <w:rsid w:val="0025004F"/>
    <w:rsid w:val="0025268C"/>
    <w:rsid w:val="00286B39"/>
    <w:rsid w:val="00296440"/>
    <w:rsid w:val="002C0C78"/>
    <w:rsid w:val="00301F4B"/>
    <w:rsid w:val="003128BF"/>
    <w:rsid w:val="00314D01"/>
    <w:rsid w:val="003247A9"/>
    <w:rsid w:val="003642B0"/>
    <w:rsid w:val="00374023"/>
    <w:rsid w:val="003774B0"/>
    <w:rsid w:val="0038071C"/>
    <w:rsid w:val="003E29ED"/>
    <w:rsid w:val="003E556C"/>
    <w:rsid w:val="003F36BF"/>
    <w:rsid w:val="00401473"/>
    <w:rsid w:val="00413AA8"/>
    <w:rsid w:val="004146A8"/>
    <w:rsid w:val="0041482E"/>
    <w:rsid w:val="004315C3"/>
    <w:rsid w:val="004428A7"/>
    <w:rsid w:val="00447004"/>
    <w:rsid w:val="00456BF1"/>
    <w:rsid w:val="0046269B"/>
    <w:rsid w:val="00463775"/>
    <w:rsid w:val="004719CE"/>
    <w:rsid w:val="00474B43"/>
    <w:rsid w:val="00482FEB"/>
    <w:rsid w:val="00492310"/>
    <w:rsid w:val="00495D4D"/>
    <w:rsid w:val="004C17CC"/>
    <w:rsid w:val="004E24C9"/>
    <w:rsid w:val="004F19A1"/>
    <w:rsid w:val="00522B62"/>
    <w:rsid w:val="0052454C"/>
    <w:rsid w:val="00535998"/>
    <w:rsid w:val="005447EC"/>
    <w:rsid w:val="0059134E"/>
    <w:rsid w:val="0059229C"/>
    <w:rsid w:val="005927D7"/>
    <w:rsid w:val="005970BF"/>
    <w:rsid w:val="005B06E5"/>
    <w:rsid w:val="005B30D3"/>
    <w:rsid w:val="005B554D"/>
    <w:rsid w:val="005F5B19"/>
    <w:rsid w:val="00600BAF"/>
    <w:rsid w:val="00642AF8"/>
    <w:rsid w:val="00663879"/>
    <w:rsid w:val="006748B0"/>
    <w:rsid w:val="006826D6"/>
    <w:rsid w:val="006930C3"/>
    <w:rsid w:val="006F00DC"/>
    <w:rsid w:val="006F1008"/>
    <w:rsid w:val="006F4012"/>
    <w:rsid w:val="00732758"/>
    <w:rsid w:val="00753578"/>
    <w:rsid w:val="007667B4"/>
    <w:rsid w:val="00795131"/>
    <w:rsid w:val="007B2F6B"/>
    <w:rsid w:val="007B5086"/>
    <w:rsid w:val="007C5E97"/>
    <w:rsid w:val="007D0A3F"/>
    <w:rsid w:val="007F336B"/>
    <w:rsid w:val="007F419C"/>
    <w:rsid w:val="00800C3A"/>
    <w:rsid w:val="008105D6"/>
    <w:rsid w:val="00812FAF"/>
    <w:rsid w:val="00826350"/>
    <w:rsid w:val="0087122A"/>
    <w:rsid w:val="008804FD"/>
    <w:rsid w:val="008900D4"/>
    <w:rsid w:val="008A72A1"/>
    <w:rsid w:val="008D4570"/>
    <w:rsid w:val="008D4B01"/>
    <w:rsid w:val="008D78DF"/>
    <w:rsid w:val="008F05B4"/>
    <w:rsid w:val="00904563"/>
    <w:rsid w:val="00906229"/>
    <w:rsid w:val="00922219"/>
    <w:rsid w:val="0093426F"/>
    <w:rsid w:val="009373D7"/>
    <w:rsid w:val="00954EA2"/>
    <w:rsid w:val="0097574C"/>
    <w:rsid w:val="0098450E"/>
    <w:rsid w:val="009A0286"/>
    <w:rsid w:val="009B24C2"/>
    <w:rsid w:val="009B69C7"/>
    <w:rsid w:val="009C648C"/>
    <w:rsid w:val="009E7659"/>
    <w:rsid w:val="00A04E19"/>
    <w:rsid w:val="00A203FA"/>
    <w:rsid w:val="00A37C5F"/>
    <w:rsid w:val="00A63896"/>
    <w:rsid w:val="00A64DB4"/>
    <w:rsid w:val="00A66AED"/>
    <w:rsid w:val="00A77187"/>
    <w:rsid w:val="00A90566"/>
    <w:rsid w:val="00A921C7"/>
    <w:rsid w:val="00AB562F"/>
    <w:rsid w:val="00AB77E0"/>
    <w:rsid w:val="00AE108B"/>
    <w:rsid w:val="00AE6A7A"/>
    <w:rsid w:val="00AF40C9"/>
    <w:rsid w:val="00B04A6E"/>
    <w:rsid w:val="00B11CC3"/>
    <w:rsid w:val="00B301F1"/>
    <w:rsid w:val="00B4666D"/>
    <w:rsid w:val="00B5693F"/>
    <w:rsid w:val="00B77650"/>
    <w:rsid w:val="00B93FF8"/>
    <w:rsid w:val="00BC0E46"/>
    <w:rsid w:val="00BC43E2"/>
    <w:rsid w:val="00BE2ADE"/>
    <w:rsid w:val="00BF31E6"/>
    <w:rsid w:val="00C049FD"/>
    <w:rsid w:val="00C3297D"/>
    <w:rsid w:val="00C77503"/>
    <w:rsid w:val="00C77A34"/>
    <w:rsid w:val="00C92B11"/>
    <w:rsid w:val="00CA5CDA"/>
    <w:rsid w:val="00D0036A"/>
    <w:rsid w:val="00D0529F"/>
    <w:rsid w:val="00D05A91"/>
    <w:rsid w:val="00D23870"/>
    <w:rsid w:val="00D41722"/>
    <w:rsid w:val="00D46A3C"/>
    <w:rsid w:val="00D86290"/>
    <w:rsid w:val="00D9547B"/>
    <w:rsid w:val="00DA6131"/>
    <w:rsid w:val="00DB4D29"/>
    <w:rsid w:val="00DB6270"/>
    <w:rsid w:val="00DC45CE"/>
    <w:rsid w:val="00DD3984"/>
    <w:rsid w:val="00DD745D"/>
    <w:rsid w:val="00DE3443"/>
    <w:rsid w:val="00DF5CB5"/>
    <w:rsid w:val="00E132FA"/>
    <w:rsid w:val="00E304CC"/>
    <w:rsid w:val="00E42369"/>
    <w:rsid w:val="00E65435"/>
    <w:rsid w:val="00E737CD"/>
    <w:rsid w:val="00E9438D"/>
    <w:rsid w:val="00EC0571"/>
    <w:rsid w:val="00EC587C"/>
    <w:rsid w:val="00ED6D6F"/>
    <w:rsid w:val="00EE3498"/>
    <w:rsid w:val="00EE5CAA"/>
    <w:rsid w:val="00EF3944"/>
    <w:rsid w:val="00F02419"/>
    <w:rsid w:val="00F04682"/>
    <w:rsid w:val="00F12F36"/>
    <w:rsid w:val="00F168D5"/>
    <w:rsid w:val="00F248D7"/>
    <w:rsid w:val="00F424F9"/>
    <w:rsid w:val="00F53854"/>
    <w:rsid w:val="00F64546"/>
    <w:rsid w:val="00FB37C9"/>
    <w:rsid w:val="00FD6C3E"/>
    <w:rsid w:val="00FE04A2"/>
    <w:rsid w:val="00FE35F0"/>
    <w:rsid w:val="00FF0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F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82F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2FEB"/>
    <w:rPr>
      <w:sz w:val="20"/>
      <w:szCs w:val="20"/>
    </w:rPr>
  </w:style>
  <w:style w:type="character" w:styleId="FootnoteReference">
    <w:name w:val="footnote reference"/>
    <w:basedOn w:val="DefaultParagraphFont"/>
    <w:uiPriority w:val="99"/>
    <w:semiHidden/>
    <w:unhideWhenUsed/>
    <w:rsid w:val="00482FEB"/>
    <w:rPr>
      <w:vertAlign w:val="superscript"/>
    </w:rPr>
  </w:style>
  <w:style w:type="paragraph" w:styleId="Header">
    <w:name w:val="header"/>
    <w:basedOn w:val="Normal"/>
    <w:link w:val="HeaderChar"/>
    <w:uiPriority w:val="99"/>
    <w:unhideWhenUsed/>
    <w:rsid w:val="00EE5C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CAA"/>
  </w:style>
  <w:style w:type="paragraph" w:styleId="Footer">
    <w:name w:val="footer"/>
    <w:basedOn w:val="Normal"/>
    <w:link w:val="FooterChar"/>
    <w:uiPriority w:val="99"/>
    <w:unhideWhenUsed/>
    <w:rsid w:val="00EE5C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C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82F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2FEB"/>
    <w:rPr>
      <w:sz w:val="20"/>
      <w:szCs w:val="20"/>
    </w:rPr>
  </w:style>
  <w:style w:type="character" w:styleId="FootnoteReference">
    <w:name w:val="footnote reference"/>
    <w:basedOn w:val="DefaultParagraphFont"/>
    <w:uiPriority w:val="99"/>
    <w:semiHidden/>
    <w:unhideWhenUsed/>
    <w:rsid w:val="00482FEB"/>
    <w:rPr>
      <w:vertAlign w:val="superscript"/>
    </w:rPr>
  </w:style>
  <w:style w:type="paragraph" w:styleId="Header">
    <w:name w:val="header"/>
    <w:basedOn w:val="Normal"/>
    <w:link w:val="HeaderChar"/>
    <w:uiPriority w:val="99"/>
    <w:unhideWhenUsed/>
    <w:rsid w:val="00EE5C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CAA"/>
  </w:style>
  <w:style w:type="paragraph" w:styleId="Footer">
    <w:name w:val="footer"/>
    <w:basedOn w:val="Normal"/>
    <w:link w:val="FooterChar"/>
    <w:uiPriority w:val="99"/>
    <w:unhideWhenUsed/>
    <w:rsid w:val="00EE5C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5BC72-B1E2-4DF8-ADDC-06C504CDE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8017</Words>
  <Characters>45698</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 Strachan</dc:creator>
  <cp:lastModifiedBy>Hew Strachan</cp:lastModifiedBy>
  <cp:revision>2</cp:revision>
  <cp:lastPrinted>2020-12-16T09:24:00Z</cp:lastPrinted>
  <dcterms:created xsi:type="dcterms:W3CDTF">2026-07-14T17:56:00Z</dcterms:created>
  <dcterms:modified xsi:type="dcterms:W3CDTF">2026-07-14T17:56:00Z</dcterms:modified>
</cp:coreProperties>
</file>